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06267"/>
      <w:bookmarkStart w:id="1" w:name="_Toc15396475"/>
      <w:bookmarkStart w:id="2" w:name="_Toc15377425"/>
      <w:bookmarkStart w:id="3" w:name="_Toc15378441"/>
      <w:bookmarkStart w:id="4" w:name="_Toc15396597"/>
      <w:bookmarkStart w:id="5" w:name="_Toc15377193"/>
    </w:p>
    <w:bookmarkEnd w:id="0"/>
    <w:bookmarkEnd w:id="1"/>
    <w:bookmarkEnd w:id="2"/>
    <w:bookmarkEnd w:id="3"/>
    <w:bookmarkEnd w:id="4"/>
    <w:bookmarkEnd w:id="5"/>
    <w:p>
      <w:pPr>
        <w:pStyle w:val="2"/>
        <w:jc w:val="center"/>
        <w:rPr>
          <w:rFonts w:hint="eastAsia" w:ascii="方正小标宋简体" w:hAnsi="宋体" w:eastAsia="方正小标宋简体" w:cs="Times New Roman"/>
          <w:color w:val="auto"/>
          <w:kern w:val="2"/>
          <w:sz w:val="44"/>
          <w:szCs w:val="44"/>
          <w:highlight w:val="none"/>
          <w:lang w:val="en-US" w:eastAsia="zh-CN" w:bidi="ar-SA"/>
        </w:rPr>
      </w:pPr>
    </w:p>
    <w:p>
      <w:pPr>
        <w:pStyle w:val="2"/>
        <w:jc w:val="center"/>
        <w:rPr>
          <w:rFonts w:hint="eastAsia"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2023年度广元市苍溪县人民法院单位决算公开</w:t>
      </w:r>
    </w:p>
    <w:p>
      <w:pPr>
        <w:widowControl/>
        <w:jc w:val="center"/>
        <w:rPr>
          <w:rFonts w:hint="eastAsia"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   录</w:t>
      </w:r>
    </w:p>
    <w:p>
      <w:pPr>
        <w:pStyle w:val="15"/>
        <w:spacing w:beforeLines="0" w:afterLines="0"/>
        <w:ind w:firstLine="2800" w:firstLineChars="1000"/>
      </w:pPr>
      <w:r>
        <w:rPr>
          <w:rFonts w:hint="eastAsia" w:ascii="黑体" w:hAnsi="黑体" w:eastAsia="黑体"/>
          <w:color w:val="auto"/>
          <w:sz w:val="28"/>
          <w:szCs w:val="28"/>
        </w:rPr>
        <w:t>2024年10月</w:t>
      </w:r>
      <w:r>
        <w:rPr>
          <w:rFonts w:hint="default" w:ascii="黑体" w:hAnsi="黑体" w:eastAsia="黑体"/>
          <w:color w:val="auto"/>
          <w:sz w:val="28"/>
          <w:szCs w:val="28"/>
          <w:lang w:val="en"/>
        </w:rPr>
        <w:t>14</w:t>
      </w:r>
      <w:r>
        <w:rPr>
          <w:rFonts w:hint="eastAsia" w:ascii="黑体" w:hAnsi="黑体" w:eastAsia="黑体"/>
          <w:color w:val="auto"/>
          <w:sz w:val="28"/>
          <w:szCs w:val="28"/>
        </w:rPr>
        <w:t>日</w:t>
      </w:r>
    </w:p>
    <w:p>
      <w:pPr>
        <w:pStyle w:val="12"/>
        <w:pageBreakBefore w:val="0"/>
        <w:widowControl w:val="0"/>
        <w:kinsoku/>
        <w:wordWrap/>
        <w:overflowPunct/>
        <w:topLinePunct w:val="0"/>
        <w:autoSpaceDE/>
        <w:autoSpaceDN/>
        <w:bidi w:val="0"/>
        <w:adjustRightInd w:val="0"/>
        <w:snapToGrid w:val="0"/>
        <w:spacing w:before="0" w:line="420" w:lineRule="exact"/>
        <w:jc w:val="left"/>
        <w:textAlignment w:val="auto"/>
        <w:rPr>
          <w:rFonts w:hint="eastAsia" w:ascii="宋体" w:hAnsi="宋体" w:eastAsia="宋体" w:cs="宋体"/>
          <w:sz w:val="24"/>
          <w:szCs w:val="24"/>
        </w:rPr>
      </w:pPr>
      <w:r>
        <w:rPr>
          <w:rFonts w:hint="eastAsia" w:ascii="黑体" w:hAnsi="黑体" w:eastAsia="黑体" w:cs="黑体"/>
          <w:sz w:val="24"/>
          <w:szCs w:val="24"/>
        </w:rPr>
        <w:t>第一部分</w:t>
      </w:r>
      <w:r>
        <w:rPr>
          <w:rFonts w:hint="eastAsia" w:ascii="黑体" w:hAnsi="黑体" w:eastAsia="黑体" w:cs="黑体"/>
          <w:sz w:val="24"/>
          <w:szCs w:val="24"/>
          <w:lang w:eastAsia="zh-CN"/>
        </w:rPr>
        <w:t>单位</w:t>
      </w:r>
      <w:r>
        <w:rPr>
          <w:rFonts w:hint="eastAsia" w:ascii="黑体" w:hAnsi="黑体" w:eastAsia="黑体" w:cs="黑体"/>
          <w:sz w:val="24"/>
          <w:szCs w:val="24"/>
        </w:rPr>
        <w:t>概况</w:t>
      </w:r>
      <w:r>
        <w:rPr>
          <w:rFonts w:hint="eastAsia" w:ascii="宋体" w:hAnsi="宋体" w:eastAsia="宋体" w:cs="宋体"/>
          <w:sz w:val="24"/>
          <w:szCs w:val="24"/>
        </w:rPr>
        <w:t>....................................................1</w:t>
      </w:r>
    </w:p>
    <w:p>
      <w:pPr>
        <w:pStyle w:val="13"/>
        <w:pageBreakBefore w:val="0"/>
        <w:widowControl w:val="0"/>
        <w:kinsoku/>
        <w:wordWrap/>
        <w:overflowPunct/>
        <w:topLinePunct w:val="0"/>
        <w:autoSpaceDE/>
        <w:autoSpaceDN/>
        <w:bidi w:val="0"/>
        <w:adjustRightInd w:val="0"/>
        <w:snapToGrid w:val="0"/>
        <w:spacing w:line="42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一、</w:t>
      </w:r>
      <w:r>
        <w:rPr>
          <w:rFonts w:hint="eastAsia" w:ascii="宋体" w:hAnsi="宋体" w:cs="宋体"/>
          <w:sz w:val="24"/>
          <w:szCs w:val="24"/>
          <w:lang w:eastAsia="zh-CN"/>
        </w:rPr>
        <w:t>单位</w:t>
      </w:r>
      <w:r>
        <w:rPr>
          <w:rFonts w:hint="eastAsia" w:ascii="宋体" w:hAnsi="宋体" w:eastAsia="宋体" w:cs="宋体"/>
          <w:sz w:val="24"/>
          <w:szCs w:val="24"/>
        </w:rPr>
        <w:t>职责.....................................................1</w:t>
      </w:r>
    </w:p>
    <w:p>
      <w:pPr>
        <w:pStyle w:val="13"/>
        <w:pageBreakBefore w:val="0"/>
        <w:widowControl w:val="0"/>
        <w:kinsoku/>
        <w:wordWrap/>
        <w:overflowPunct/>
        <w:topLinePunct w:val="0"/>
        <w:autoSpaceDE/>
        <w:autoSpaceDN/>
        <w:bidi w:val="0"/>
        <w:adjustRightInd w:val="0"/>
        <w:snapToGrid w:val="0"/>
        <w:spacing w:line="42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二、机构设置.....................................................</w:t>
      </w:r>
      <w:r>
        <w:rPr>
          <w:rFonts w:hint="eastAsia" w:ascii="宋体" w:hAnsi="宋体" w:eastAsia="宋体" w:cs="宋体"/>
          <w:sz w:val="24"/>
          <w:szCs w:val="24"/>
          <w:lang w:val="en-US" w:eastAsia="zh-CN"/>
        </w:rPr>
        <w:t>2</w:t>
      </w:r>
    </w:p>
    <w:p>
      <w:pPr>
        <w:pStyle w:val="12"/>
        <w:pageBreakBefore w:val="0"/>
        <w:widowControl w:val="0"/>
        <w:kinsoku/>
        <w:wordWrap/>
        <w:overflowPunct/>
        <w:topLinePunct w:val="0"/>
        <w:autoSpaceDE/>
        <w:autoSpaceDN/>
        <w:bidi w:val="0"/>
        <w:adjustRightInd w:val="0"/>
        <w:snapToGrid w:val="0"/>
        <w:spacing w:before="0" w:line="420" w:lineRule="exact"/>
        <w:jc w:val="left"/>
        <w:textAlignment w:val="auto"/>
        <w:rPr>
          <w:rFonts w:hint="eastAsia" w:ascii="宋体" w:hAnsi="宋体" w:eastAsia="宋体" w:cs="宋体"/>
          <w:sz w:val="24"/>
          <w:szCs w:val="24"/>
        </w:rPr>
      </w:pPr>
      <w:r>
        <w:rPr>
          <w:rFonts w:hint="eastAsia" w:ascii="黑体" w:hAnsi="黑体" w:eastAsia="黑体" w:cs="黑体"/>
          <w:sz w:val="24"/>
          <w:szCs w:val="24"/>
        </w:rPr>
        <w:t>第二部分 2022年度</w:t>
      </w:r>
      <w:r>
        <w:rPr>
          <w:rFonts w:hint="eastAsia" w:ascii="黑体" w:hAnsi="黑体" w:eastAsia="黑体" w:cs="黑体"/>
          <w:sz w:val="24"/>
          <w:szCs w:val="24"/>
          <w:lang w:eastAsia="zh-CN"/>
        </w:rPr>
        <w:t>单位</w:t>
      </w:r>
      <w:r>
        <w:rPr>
          <w:rFonts w:hint="eastAsia" w:ascii="黑体" w:hAnsi="黑体" w:eastAsia="黑体" w:cs="黑体"/>
          <w:sz w:val="24"/>
          <w:szCs w:val="24"/>
        </w:rPr>
        <w:t>决算情况说明</w:t>
      </w:r>
      <w:r>
        <w:rPr>
          <w:rFonts w:hint="eastAsia" w:ascii="宋体" w:hAnsi="宋体" w:eastAsia="宋体" w:cs="宋体"/>
          <w:sz w:val="24"/>
          <w:szCs w:val="24"/>
        </w:rPr>
        <w:t>.................................</w:t>
      </w:r>
      <w:r>
        <w:rPr>
          <w:rFonts w:hint="eastAsia" w:ascii="宋体" w:hAnsi="宋体" w:eastAsia="宋体" w:cs="宋体"/>
          <w:sz w:val="24"/>
          <w:szCs w:val="24"/>
          <w:lang w:val="en-US" w:eastAsia="zh-CN"/>
        </w:rPr>
        <w:t>.</w:t>
      </w:r>
      <w:r>
        <w:rPr>
          <w:rFonts w:hint="eastAsia" w:ascii="宋体" w:hAnsi="宋体" w:eastAsia="宋体" w:cs="宋体"/>
          <w:sz w:val="24"/>
          <w:szCs w:val="24"/>
        </w:rPr>
        <w:t>3</w:t>
      </w:r>
    </w:p>
    <w:p>
      <w:pPr>
        <w:pStyle w:val="13"/>
        <w:pageBreakBefore w:val="0"/>
        <w:widowControl w:val="0"/>
        <w:kinsoku/>
        <w:wordWrap/>
        <w:overflowPunct/>
        <w:topLinePunct w:val="0"/>
        <w:autoSpaceDE/>
        <w:autoSpaceDN/>
        <w:bidi w:val="0"/>
        <w:adjustRightInd w:val="0"/>
        <w:snapToGrid w:val="0"/>
        <w:spacing w:line="42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一、收入支出决算总体情况说明.....................................3</w:t>
      </w:r>
    </w:p>
    <w:p>
      <w:pPr>
        <w:pStyle w:val="13"/>
        <w:pageBreakBefore w:val="0"/>
        <w:widowControl w:val="0"/>
        <w:kinsoku/>
        <w:wordWrap/>
        <w:overflowPunct/>
        <w:topLinePunct w:val="0"/>
        <w:autoSpaceDE/>
        <w:autoSpaceDN/>
        <w:bidi w:val="0"/>
        <w:adjustRightInd w:val="0"/>
        <w:snapToGrid w:val="0"/>
        <w:spacing w:line="42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二、收入决算情况说明.............................................</w:t>
      </w:r>
      <w:r>
        <w:rPr>
          <w:rFonts w:hint="eastAsia" w:ascii="宋体" w:hAnsi="宋体" w:cs="宋体"/>
          <w:sz w:val="24"/>
          <w:szCs w:val="24"/>
          <w:lang w:val="en-US" w:eastAsia="zh-CN"/>
        </w:rPr>
        <w:t>4</w:t>
      </w:r>
    </w:p>
    <w:p>
      <w:pPr>
        <w:pStyle w:val="13"/>
        <w:pageBreakBefore w:val="0"/>
        <w:widowControl w:val="0"/>
        <w:kinsoku/>
        <w:wordWrap/>
        <w:overflowPunct/>
        <w:topLinePunct w:val="0"/>
        <w:autoSpaceDE/>
        <w:autoSpaceDN/>
        <w:bidi w:val="0"/>
        <w:adjustRightInd w:val="0"/>
        <w:snapToGrid w:val="0"/>
        <w:spacing w:line="420" w:lineRule="exact"/>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三、支出决算情况说明.............................................</w:t>
      </w:r>
      <w:r>
        <w:rPr>
          <w:rFonts w:hint="eastAsia" w:ascii="宋体" w:hAnsi="宋体" w:cs="宋体"/>
          <w:sz w:val="24"/>
          <w:szCs w:val="24"/>
          <w:lang w:val="en-US" w:eastAsia="zh-CN"/>
        </w:rPr>
        <w:t>4</w:t>
      </w:r>
    </w:p>
    <w:p>
      <w:pPr>
        <w:pStyle w:val="13"/>
        <w:pageBreakBefore w:val="0"/>
        <w:widowControl w:val="0"/>
        <w:kinsoku/>
        <w:wordWrap/>
        <w:overflowPunct/>
        <w:topLinePunct w:val="0"/>
        <w:autoSpaceDE/>
        <w:autoSpaceDN/>
        <w:bidi w:val="0"/>
        <w:adjustRightInd w:val="0"/>
        <w:snapToGrid w:val="0"/>
        <w:spacing w:line="42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四、财政拨款收入支出决算总体情况说明.............................5</w:t>
      </w:r>
    </w:p>
    <w:p>
      <w:pPr>
        <w:pStyle w:val="13"/>
        <w:pageBreakBefore w:val="0"/>
        <w:widowControl w:val="0"/>
        <w:kinsoku/>
        <w:wordWrap/>
        <w:overflowPunct/>
        <w:topLinePunct w:val="0"/>
        <w:autoSpaceDE/>
        <w:autoSpaceDN/>
        <w:bidi w:val="0"/>
        <w:adjustRightInd w:val="0"/>
        <w:snapToGrid w:val="0"/>
        <w:spacing w:line="42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五、一般公共预算财政拨款支出决算情况说明.........................5</w:t>
      </w:r>
    </w:p>
    <w:p>
      <w:pPr>
        <w:pStyle w:val="13"/>
        <w:pageBreakBefore w:val="0"/>
        <w:widowControl w:val="0"/>
        <w:kinsoku/>
        <w:wordWrap/>
        <w:overflowPunct/>
        <w:topLinePunct w:val="0"/>
        <w:autoSpaceDE/>
        <w:autoSpaceDN/>
        <w:bidi w:val="0"/>
        <w:adjustRightInd w:val="0"/>
        <w:snapToGrid w:val="0"/>
        <w:spacing w:line="42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六、一般公共预算财政拨款基本支出决算情况说明.....................7</w:t>
      </w:r>
    </w:p>
    <w:p>
      <w:pPr>
        <w:pStyle w:val="13"/>
        <w:pageBreakBefore w:val="0"/>
        <w:widowControl w:val="0"/>
        <w:kinsoku/>
        <w:wordWrap/>
        <w:overflowPunct/>
        <w:topLinePunct w:val="0"/>
        <w:autoSpaceDE/>
        <w:autoSpaceDN/>
        <w:bidi w:val="0"/>
        <w:adjustRightInd w:val="0"/>
        <w:snapToGrid w:val="0"/>
        <w:spacing w:line="42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七、财政拨款“三公”经费支出决算情况说明..........................8</w:t>
      </w:r>
    </w:p>
    <w:p>
      <w:pPr>
        <w:pStyle w:val="13"/>
        <w:pageBreakBefore w:val="0"/>
        <w:widowControl w:val="0"/>
        <w:kinsoku/>
        <w:wordWrap/>
        <w:overflowPunct/>
        <w:topLinePunct w:val="0"/>
        <w:autoSpaceDE/>
        <w:autoSpaceDN/>
        <w:bidi w:val="0"/>
        <w:adjustRightInd w:val="0"/>
        <w:snapToGrid w:val="0"/>
        <w:spacing w:line="42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八、政府性基金预算支出决算情况说明..............................10</w:t>
      </w:r>
    </w:p>
    <w:p>
      <w:pPr>
        <w:pStyle w:val="13"/>
        <w:pageBreakBefore w:val="0"/>
        <w:widowControl w:val="0"/>
        <w:kinsoku/>
        <w:wordWrap/>
        <w:overflowPunct/>
        <w:topLinePunct w:val="0"/>
        <w:autoSpaceDE/>
        <w:autoSpaceDN/>
        <w:bidi w:val="0"/>
        <w:adjustRightInd w:val="0"/>
        <w:snapToGrid w:val="0"/>
        <w:spacing w:line="420" w:lineRule="exact"/>
        <w:ind w:leftChars="0"/>
        <w:jc w:val="left"/>
        <w:textAlignment w:val="auto"/>
        <w:rPr>
          <w:rFonts w:hint="eastAsia" w:ascii="宋体" w:hAnsi="宋体" w:eastAsia="宋体" w:cs="宋体"/>
          <w:sz w:val="24"/>
          <w:szCs w:val="24"/>
        </w:rPr>
      </w:pPr>
      <w:r>
        <w:rPr>
          <w:rFonts w:hint="eastAsia" w:ascii="宋体" w:hAnsi="宋体" w:eastAsia="宋体" w:cs="宋体"/>
          <w:sz w:val="24"/>
          <w:szCs w:val="24"/>
        </w:rPr>
        <w:t>九、国有资本经营预算支出决算情况说明............................10</w:t>
      </w:r>
    </w:p>
    <w:p>
      <w:pPr>
        <w:pageBreakBefore w:val="0"/>
        <w:widowControl w:val="0"/>
        <w:kinsoku/>
        <w:wordWrap/>
        <w:overflowPunct/>
        <w:topLinePunct w:val="0"/>
        <w:autoSpaceDE/>
        <w:autoSpaceDN/>
        <w:bidi w:val="0"/>
        <w:adjustRightInd w:val="0"/>
        <w:snapToGrid w:val="0"/>
        <w:spacing w:line="420" w:lineRule="exact"/>
        <w:ind w:firstLine="420" w:firstLineChars="175"/>
        <w:jc w:val="left"/>
        <w:textAlignment w:val="auto"/>
        <w:rPr>
          <w:rFonts w:hint="eastAsia" w:ascii="宋体" w:hAnsi="宋体" w:eastAsia="宋体" w:cs="宋体"/>
          <w:sz w:val="24"/>
          <w:szCs w:val="24"/>
        </w:rPr>
      </w:pPr>
      <w:r>
        <w:rPr>
          <w:rStyle w:val="19"/>
          <w:rFonts w:hint="eastAsia" w:ascii="宋体" w:hAnsi="宋体" w:eastAsia="宋体" w:cs="宋体"/>
          <w:color w:val="auto"/>
          <w:sz w:val="24"/>
          <w:szCs w:val="24"/>
          <w:u w:val="none"/>
        </w:rPr>
        <w:t>十、</w:t>
      </w:r>
      <w:r>
        <w:rPr>
          <w:rFonts w:hint="eastAsia" w:ascii="宋体" w:hAnsi="宋体" w:eastAsia="宋体" w:cs="宋体"/>
          <w:sz w:val="24"/>
          <w:szCs w:val="24"/>
        </w:rPr>
        <w:t>其他重要事项的情况说明......................................10</w:t>
      </w:r>
    </w:p>
    <w:p>
      <w:pPr>
        <w:pStyle w:val="12"/>
        <w:pageBreakBefore w:val="0"/>
        <w:widowControl w:val="0"/>
        <w:kinsoku/>
        <w:wordWrap/>
        <w:overflowPunct/>
        <w:topLinePunct w:val="0"/>
        <w:autoSpaceDE/>
        <w:autoSpaceDN/>
        <w:bidi w:val="0"/>
        <w:adjustRightInd w:val="0"/>
        <w:snapToGrid w:val="0"/>
        <w:spacing w:before="0" w:line="420" w:lineRule="exact"/>
        <w:jc w:val="left"/>
        <w:textAlignment w:val="auto"/>
        <w:rPr>
          <w:rFonts w:hint="eastAsia" w:ascii="宋体" w:hAnsi="宋体" w:eastAsia="宋体" w:cs="宋体"/>
          <w:sz w:val="24"/>
          <w:szCs w:val="24"/>
          <w:lang w:val="en-US" w:eastAsia="zh-CN"/>
        </w:rPr>
      </w:pPr>
      <w:r>
        <w:rPr>
          <w:rFonts w:hint="eastAsia" w:ascii="黑体" w:hAnsi="黑体" w:eastAsia="黑体" w:cs="黑体"/>
          <w:sz w:val="24"/>
          <w:szCs w:val="24"/>
        </w:rPr>
        <w:t>第三部分名词解释</w:t>
      </w:r>
      <w:r>
        <w:rPr>
          <w:rFonts w:hint="eastAsia" w:ascii="宋体" w:hAnsi="宋体" w:eastAsia="宋体" w:cs="宋体"/>
          <w:sz w:val="24"/>
          <w:szCs w:val="24"/>
        </w:rPr>
        <w:t>...................................................1</w:t>
      </w:r>
      <w:r>
        <w:rPr>
          <w:rFonts w:hint="eastAsia" w:ascii="宋体" w:hAnsi="宋体" w:eastAsia="宋体" w:cs="宋体"/>
          <w:sz w:val="24"/>
          <w:szCs w:val="24"/>
          <w:lang w:val="en-US" w:eastAsia="zh-CN"/>
        </w:rPr>
        <w:t>2</w:t>
      </w:r>
    </w:p>
    <w:p>
      <w:pPr>
        <w:pStyle w:val="12"/>
        <w:pageBreakBefore w:val="0"/>
        <w:widowControl w:val="0"/>
        <w:kinsoku/>
        <w:wordWrap/>
        <w:overflowPunct/>
        <w:topLinePunct w:val="0"/>
        <w:autoSpaceDE/>
        <w:autoSpaceDN/>
        <w:bidi w:val="0"/>
        <w:adjustRightInd w:val="0"/>
        <w:snapToGrid w:val="0"/>
        <w:spacing w:before="0" w:line="420" w:lineRule="exact"/>
        <w:jc w:val="left"/>
        <w:textAlignment w:val="auto"/>
        <w:rPr>
          <w:rFonts w:hint="default" w:ascii="宋体" w:hAnsi="宋体" w:eastAsia="宋体" w:cs="宋体"/>
          <w:sz w:val="24"/>
          <w:szCs w:val="24"/>
          <w:lang w:val="en-US" w:eastAsia="zh-CN"/>
        </w:rPr>
      </w:pPr>
      <w:r>
        <w:rPr>
          <w:rFonts w:hint="eastAsia" w:ascii="黑体" w:hAnsi="黑体" w:eastAsia="黑体" w:cs="黑体"/>
          <w:sz w:val="24"/>
          <w:szCs w:val="24"/>
        </w:rPr>
        <w:t>第四部分附件</w:t>
      </w:r>
      <w:r>
        <w:rPr>
          <w:rFonts w:hint="eastAsia" w:ascii="宋体" w:hAnsi="宋体" w:eastAsia="宋体" w:cs="宋体"/>
          <w:sz w:val="24"/>
          <w:szCs w:val="24"/>
        </w:rPr>
        <w:t>.......................................................</w:t>
      </w:r>
      <w:r>
        <w:rPr>
          <w:rFonts w:hint="eastAsia" w:ascii="宋体" w:hAnsi="宋体" w:eastAsia="宋体" w:cs="宋体"/>
          <w:sz w:val="24"/>
          <w:szCs w:val="24"/>
          <w:lang w:val="en-US" w:eastAsia="zh-CN"/>
        </w:rPr>
        <w:t>14</w:t>
      </w:r>
      <w:bookmarkStart w:id="58" w:name="_GoBack"/>
      <w:bookmarkEnd w:id="58"/>
      <w:r>
        <w:rPr>
          <w:rFonts w:hint="eastAsia" w:ascii="黑体" w:hAnsi="黑体" w:eastAsia="黑体" w:cs="黑体"/>
          <w:sz w:val="24"/>
          <w:szCs w:val="24"/>
        </w:rPr>
        <w:t>第五部分附表</w:t>
      </w:r>
      <w:r>
        <w:rPr>
          <w:rFonts w:hint="eastAsia" w:ascii="宋体" w:hAnsi="宋体" w:eastAsia="宋体" w:cs="宋体"/>
          <w:sz w:val="24"/>
          <w:szCs w:val="24"/>
        </w:rPr>
        <w:t>.......................................................</w:t>
      </w:r>
      <w:r>
        <w:rPr>
          <w:rFonts w:hint="eastAsia" w:ascii="宋体" w:hAnsi="宋体" w:eastAsia="宋体" w:cs="宋体"/>
          <w:sz w:val="24"/>
          <w:szCs w:val="24"/>
          <w:lang w:val="en-US" w:eastAsia="zh-CN"/>
        </w:rPr>
        <w:t>27</w:t>
      </w:r>
    </w:p>
    <w:p>
      <w:pPr>
        <w:pStyle w:val="13"/>
        <w:pageBreakBefore w:val="0"/>
        <w:widowControl w:val="0"/>
        <w:kinsoku/>
        <w:wordWrap/>
        <w:overflowPunct/>
        <w:topLinePunct w:val="0"/>
        <w:autoSpaceDE/>
        <w:autoSpaceDN/>
        <w:bidi w:val="0"/>
        <w:adjustRightInd w:val="0"/>
        <w:snapToGrid w:val="0"/>
        <w:spacing w:line="420" w:lineRule="exact"/>
        <w:jc w:val="left"/>
        <w:textAlignment w:val="auto"/>
        <w:rPr>
          <w:rFonts w:hint="default" w:ascii="宋体" w:hAnsi="宋体" w:eastAsia="宋体" w:cs="宋体"/>
          <w:sz w:val="24"/>
          <w:szCs w:val="24"/>
          <w:lang w:val="en-US"/>
        </w:rPr>
      </w:pPr>
      <w:r>
        <w:rPr>
          <w:rFonts w:hint="eastAsia" w:ascii="宋体" w:hAnsi="宋体" w:eastAsia="宋体" w:cs="宋体"/>
          <w:sz w:val="24"/>
          <w:szCs w:val="24"/>
        </w:rPr>
        <w:t>一、收入支出决算总表............................................</w:t>
      </w:r>
      <w:r>
        <w:rPr>
          <w:rFonts w:hint="eastAsia" w:ascii="宋体" w:hAnsi="宋体" w:cs="宋体"/>
          <w:sz w:val="24"/>
          <w:szCs w:val="24"/>
          <w:lang w:val="en-US" w:eastAsia="zh-CN"/>
        </w:rPr>
        <w:t>27</w:t>
      </w:r>
    </w:p>
    <w:p>
      <w:pPr>
        <w:pStyle w:val="13"/>
        <w:pageBreakBefore w:val="0"/>
        <w:widowControl w:val="0"/>
        <w:kinsoku/>
        <w:wordWrap/>
        <w:overflowPunct/>
        <w:topLinePunct w:val="0"/>
        <w:autoSpaceDE/>
        <w:autoSpaceDN/>
        <w:bidi w:val="0"/>
        <w:adjustRightInd w:val="0"/>
        <w:snapToGrid w:val="0"/>
        <w:spacing w:line="420" w:lineRule="exact"/>
        <w:jc w:val="left"/>
        <w:textAlignment w:val="auto"/>
        <w:rPr>
          <w:rFonts w:hint="default" w:ascii="宋体" w:hAnsi="宋体" w:eastAsia="宋体" w:cs="宋体"/>
          <w:sz w:val="24"/>
          <w:szCs w:val="24"/>
          <w:lang w:val="en-US"/>
        </w:rPr>
      </w:pPr>
      <w:r>
        <w:rPr>
          <w:rFonts w:hint="eastAsia" w:ascii="宋体" w:hAnsi="宋体" w:eastAsia="宋体" w:cs="宋体"/>
          <w:sz w:val="24"/>
          <w:szCs w:val="24"/>
        </w:rPr>
        <w:t>二、收入决算表..................................................</w:t>
      </w:r>
      <w:r>
        <w:rPr>
          <w:rFonts w:hint="eastAsia" w:ascii="宋体" w:hAnsi="宋体" w:cs="宋体"/>
          <w:sz w:val="24"/>
          <w:szCs w:val="24"/>
          <w:lang w:val="en-US" w:eastAsia="zh-CN"/>
        </w:rPr>
        <w:t>27</w:t>
      </w:r>
    </w:p>
    <w:p>
      <w:pPr>
        <w:pStyle w:val="13"/>
        <w:pageBreakBefore w:val="0"/>
        <w:widowControl w:val="0"/>
        <w:kinsoku/>
        <w:wordWrap/>
        <w:overflowPunct/>
        <w:topLinePunct w:val="0"/>
        <w:autoSpaceDE/>
        <w:autoSpaceDN/>
        <w:bidi w:val="0"/>
        <w:adjustRightInd w:val="0"/>
        <w:snapToGrid w:val="0"/>
        <w:spacing w:line="420" w:lineRule="exact"/>
        <w:jc w:val="left"/>
        <w:textAlignment w:val="auto"/>
        <w:rPr>
          <w:rFonts w:hint="default" w:ascii="宋体" w:hAnsi="宋体" w:eastAsia="宋体" w:cs="宋体"/>
          <w:sz w:val="24"/>
          <w:szCs w:val="24"/>
          <w:lang w:val="en-US"/>
        </w:rPr>
      </w:pPr>
      <w:r>
        <w:rPr>
          <w:rFonts w:hint="eastAsia" w:ascii="宋体" w:hAnsi="宋体" w:eastAsia="宋体" w:cs="宋体"/>
          <w:sz w:val="24"/>
          <w:szCs w:val="24"/>
        </w:rPr>
        <w:t>三、支出决算表..................................................</w:t>
      </w:r>
      <w:r>
        <w:rPr>
          <w:rFonts w:hint="eastAsia" w:ascii="宋体" w:hAnsi="宋体" w:cs="宋体"/>
          <w:sz w:val="24"/>
          <w:szCs w:val="24"/>
          <w:lang w:val="en-US" w:eastAsia="zh-CN"/>
        </w:rPr>
        <w:t>27</w:t>
      </w:r>
    </w:p>
    <w:p>
      <w:pPr>
        <w:pStyle w:val="13"/>
        <w:pageBreakBefore w:val="0"/>
        <w:widowControl w:val="0"/>
        <w:kinsoku/>
        <w:wordWrap/>
        <w:overflowPunct/>
        <w:topLinePunct w:val="0"/>
        <w:autoSpaceDE/>
        <w:autoSpaceDN/>
        <w:bidi w:val="0"/>
        <w:adjustRightInd w:val="0"/>
        <w:snapToGrid w:val="0"/>
        <w:spacing w:line="420" w:lineRule="exact"/>
        <w:jc w:val="left"/>
        <w:textAlignment w:val="auto"/>
        <w:rPr>
          <w:rFonts w:hint="default" w:ascii="宋体" w:hAnsi="宋体" w:eastAsia="宋体" w:cs="宋体"/>
          <w:sz w:val="24"/>
          <w:szCs w:val="24"/>
          <w:lang w:val="en-US"/>
        </w:rPr>
      </w:pPr>
      <w:r>
        <w:rPr>
          <w:rFonts w:hint="eastAsia" w:ascii="宋体" w:hAnsi="宋体" w:eastAsia="宋体" w:cs="宋体"/>
          <w:sz w:val="24"/>
          <w:szCs w:val="24"/>
        </w:rPr>
        <w:t>四、财政拨款收入支出决算总表....................................</w:t>
      </w:r>
      <w:r>
        <w:rPr>
          <w:rFonts w:hint="eastAsia" w:ascii="宋体" w:hAnsi="宋体" w:cs="宋体"/>
          <w:sz w:val="24"/>
          <w:szCs w:val="24"/>
          <w:lang w:val="en-US" w:eastAsia="zh-CN"/>
        </w:rPr>
        <w:t>27</w:t>
      </w:r>
    </w:p>
    <w:p>
      <w:pPr>
        <w:pStyle w:val="13"/>
        <w:pageBreakBefore w:val="0"/>
        <w:widowControl w:val="0"/>
        <w:kinsoku/>
        <w:wordWrap/>
        <w:overflowPunct/>
        <w:topLinePunct w:val="0"/>
        <w:autoSpaceDE/>
        <w:autoSpaceDN/>
        <w:bidi w:val="0"/>
        <w:adjustRightInd w:val="0"/>
        <w:snapToGrid w:val="0"/>
        <w:spacing w:line="420" w:lineRule="exact"/>
        <w:jc w:val="left"/>
        <w:textAlignment w:val="auto"/>
        <w:rPr>
          <w:rFonts w:hint="default" w:ascii="宋体" w:hAnsi="宋体" w:eastAsia="宋体" w:cs="宋体"/>
          <w:sz w:val="24"/>
          <w:szCs w:val="24"/>
          <w:lang w:val="en-US"/>
        </w:rPr>
      </w:pPr>
      <w:r>
        <w:rPr>
          <w:rFonts w:hint="eastAsia" w:ascii="宋体" w:hAnsi="宋体" w:eastAsia="宋体" w:cs="宋体"/>
          <w:sz w:val="24"/>
          <w:szCs w:val="24"/>
        </w:rPr>
        <w:t>五、财政拨款支出决算明细表......................................</w:t>
      </w:r>
      <w:r>
        <w:rPr>
          <w:rFonts w:hint="eastAsia" w:ascii="宋体" w:hAnsi="宋体" w:cs="宋体"/>
          <w:sz w:val="24"/>
          <w:szCs w:val="24"/>
          <w:lang w:val="en-US" w:eastAsia="zh-CN"/>
        </w:rPr>
        <w:t>27</w:t>
      </w:r>
    </w:p>
    <w:p>
      <w:pPr>
        <w:pStyle w:val="13"/>
        <w:pageBreakBefore w:val="0"/>
        <w:widowControl w:val="0"/>
        <w:kinsoku/>
        <w:wordWrap/>
        <w:overflowPunct/>
        <w:topLinePunct w:val="0"/>
        <w:autoSpaceDE/>
        <w:autoSpaceDN/>
        <w:bidi w:val="0"/>
        <w:adjustRightInd w:val="0"/>
        <w:snapToGrid w:val="0"/>
        <w:spacing w:line="420" w:lineRule="exact"/>
        <w:jc w:val="left"/>
        <w:textAlignment w:val="auto"/>
        <w:rPr>
          <w:rFonts w:hint="default" w:ascii="宋体" w:hAnsi="宋体" w:eastAsia="宋体" w:cs="宋体"/>
          <w:sz w:val="24"/>
          <w:szCs w:val="24"/>
          <w:lang w:val="en-US"/>
        </w:rPr>
      </w:pPr>
      <w:r>
        <w:rPr>
          <w:rFonts w:hint="eastAsia" w:ascii="宋体" w:hAnsi="宋体" w:eastAsia="宋体" w:cs="宋体"/>
          <w:sz w:val="24"/>
          <w:szCs w:val="24"/>
        </w:rPr>
        <w:t>六、一般公共预算财政拨款支出决算表..............................</w:t>
      </w:r>
      <w:r>
        <w:rPr>
          <w:rFonts w:hint="eastAsia" w:ascii="宋体" w:hAnsi="宋体" w:cs="宋体"/>
          <w:sz w:val="24"/>
          <w:szCs w:val="24"/>
          <w:lang w:val="en-US" w:eastAsia="zh-CN"/>
        </w:rPr>
        <w:t>27</w:t>
      </w:r>
    </w:p>
    <w:p>
      <w:pPr>
        <w:pStyle w:val="13"/>
        <w:pageBreakBefore w:val="0"/>
        <w:widowControl w:val="0"/>
        <w:kinsoku/>
        <w:wordWrap/>
        <w:overflowPunct/>
        <w:topLinePunct w:val="0"/>
        <w:autoSpaceDE/>
        <w:autoSpaceDN/>
        <w:bidi w:val="0"/>
        <w:adjustRightInd w:val="0"/>
        <w:snapToGrid w:val="0"/>
        <w:spacing w:line="420" w:lineRule="exact"/>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rPr>
        <w:t>七、一般公共预算财政拨款支出决算明细表....................</w:t>
      </w:r>
      <w:r>
        <w:rPr>
          <w:rFonts w:hint="eastAsia" w:ascii="宋体" w:hAnsi="宋体" w:cs="宋体"/>
          <w:sz w:val="24"/>
          <w:szCs w:val="24"/>
          <w:lang w:val="en-US" w:eastAsia="zh-CN"/>
        </w:rPr>
        <w:tab/>
      </w:r>
      <w:r>
        <w:rPr>
          <w:rFonts w:hint="eastAsia" w:ascii="宋体" w:hAnsi="宋体" w:eastAsia="宋体" w:cs="宋体"/>
          <w:sz w:val="24"/>
          <w:szCs w:val="24"/>
        </w:rPr>
        <w:t>.....</w:t>
      </w:r>
      <w:r>
        <w:rPr>
          <w:rFonts w:hint="eastAsia" w:ascii="宋体" w:hAnsi="宋体" w:cs="宋体"/>
          <w:sz w:val="24"/>
          <w:szCs w:val="24"/>
          <w:lang w:val="en-US" w:eastAsia="zh-CN"/>
        </w:rPr>
        <w:t>27</w:t>
      </w:r>
    </w:p>
    <w:p>
      <w:pPr>
        <w:pStyle w:val="13"/>
        <w:pageBreakBefore w:val="0"/>
        <w:widowControl w:val="0"/>
        <w:kinsoku/>
        <w:wordWrap/>
        <w:overflowPunct/>
        <w:topLinePunct w:val="0"/>
        <w:autoSpaceDE/>
        <w:autoSpaceDN/>
        <w:bidi w:val="0"/>
        <w:adjustRightInd w:val="0"/>
        <w:snapToGrid w:val="0"/>
        <w:spacing w:line="420" w:lineRule="exact"/>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rPr>
        <w:t>八、一般公共预算财政拨款基本支出决算明细表................</w:t>
      </w:r>
      <w:r>
        <w:rPr>
          <w:rFonts w:hint="eastAsia" w:ascii="宋体" w:hAnsi="宋体" w:cs="宋体"/>
          <w:sz w:val="24"/>
          <w:szCs w:val="24"/>
          <w:lang w:val="en-US" w:eastAsia="zh-CN"/>
        </w:rPr>
        <w:tab/>
      </w:r>
      <w:r>
        <w:rPr>
          <w:rFonts w:hint="eastAsia" w:ascii="宋体" w:hAnsi="宋体" w:eastAsia="宋体" w:cs="宋体"/>
          <w:sz w:val="24"/>
          <w:szCs w:val="24"/>
        </w:rPr>
        <w:t>.....</w:t>
      </w:r>
      <w:r>
        <w:rPr>
          <w:rFonts w:hint="eastAsia" w:ascii="宋体" w:hAnsi="宋体" w:cs="宋体"/>
          <w:sz w:val="24"/>
          <w:szCs w:val="24"/>
          <w:lang w:val="en-US" w:eastAsia="zh-CN"/>
        </w:rPr>
        <w:t>27</w:t>
      </w:r>
    </w:p>
    <w:p>
      <w:pPr>
        <w:pStyle w:val="13"/>
        <w:pageBreakBefore w:val="0"/>
        <w:widowControl w:val="0"/>
        <w:kinsoku/>
        <w:wordWrap/>
        <w:overflowPunct/>
        <w:topLinePunct w:val="0"/>
        <w:autoSpaceDE/>
        <w:autoSpaceDN/>
        <w:bidi w:val="0"/>
        <w:adjustRightInd w:val="0"/>
        <w:snapToGrid w:val="0"/>
        <w:spacing w:line="420" w:lineRule="exact"/>
        <w:jc w:val="left"/>
        <w:textAlignment w:val="auto"/>
        <w:rPr>
          <w:rFonts w:hint="default" w:ascii="宋体" w:hAnsi="宋体" w:eastAsia="宋体" w:cs="宋体"/>
          <w:sz w:val="24"/>
          <w:szCs w:val="24"/>
          <w:lang w:val="en-US"/>
        </w:rPr>
      </w:pPr>
      <w:r>
        <w:rPr>
          <w:rFonts w:hint="eastAsia" w:ascii="宋体" w:hAnsi="宋体" w:eastAsia="宋体" w:cs="宋体"/>
          <w:sz w:val="24"/>
          <w:szCs w:val="24"/>
        </w:rPr>
        <w:t>九、一般公共预算财政拨款项目支出决算表..........................</w:t>
      </w:r>
      <w:r>
        <w:rPr>
          <w:rFonts w:hint="eastAsia" w:ascii="宋体" w:hAnsi="宋体" w:cs="宋体"/>
          <w:sz w:val="24"/>
          <w:szCs w:val="24"/>
          <w:lang w:val="en-US" w:eastAsia="zh-CN"/>
        </w:rPr>
        <w:t>27</w:t>
      </w:r>
    </w:p>
    <w:p>
      <w:pPr>
        <w:pStyle w:val="13"/>
        <w:pageBreakBefore w:val="0"/>
        <w:widowControl w:val="0"/>
        <w:kinsoku/>
        <w:wordWrap/>
        <w:overflowPunct/>
        <w:topLinePunct w:val="0"/>
        <w:autoSpaceDE/>
        <w:autoSpaceDN/>
        <w:bidi w:val="0"/>
        <w:adjustRightInd w:val="0"/>
        <w:snapToGrid w:val="0"/>
        <w:spacing w:line="420" w:lineRule="exact"/>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十、政府性基金预算财政拨款收入支出决算表................</w:t>
      </w:r>
      <w:r>
        <w:rPr>
          <w:rFonts w:hint="eastAsia" w:ascii="宋体" w:hAnsi="宋体" w:cs="宋体"/>
          <w:sz w:val="24"/>
          <w:szCs w:val="24"/>
          <w:lang w:val="en-US" w:eastAsia="zh-CN"/>
        </w:rPr>
        <w:tab/>
      </w:r>
      <w:r>
        <w:rPr>
          <w:rFonts w:hint="eastAsia" w:ascii="宋体" w:hAnsi="宋体" w:eastAsia="宋体" w:cs="宋体"/>
          <w:sz w:val="24"/>
          <w:szCs w:val="24"/>
        </w:rPr>
        <w:t>.......</w:t>
      </w:r>
      <w:r>
        <w:rPr>
          <w:rFonts w:hint="eastAsia" w:ascii="宋体" w:hAnsi="宋体" w:cs="宋体"/>
          <w:sz w:val="24"/>
          <w:szCs w:val="24"/>
          <w:lang w:val="en-US" w:eastAsia="zh-CN"/>
        </w:rPr>
        <w:t>28</w:t>
      </w:r>
      <w:r>
        <w:rPr>
          <w:rFonts w:hint="eastAsia" w:ascii="宋体" w:hAnsi="宋体" w:eastAsia="宋体" w:cs="宋体"/>
          <w:sz w:val="24"/>
          <w:szCs w:val="24"/>
        </w:rPr>
        <w:t>十一、国有资本经营预算财政拨款收入支出决算表............</w:t>
      </w:r>
      <w:r>
        <w:rPr>
          <w:rFonts w:hint="eastAsia" w:ascii="宋体" w:hAnsi="宋体" w:cs="宋体"/>
          <w:sz w:val="24"/>
          <w:szCs w:val="24"/>
          <w:lang w:val="en-US" w:eastAsia="zh-CN"/>
        </w:rPr>
        <w:tab/>
      </w:r>
      <w:r>
        <w:rPr>
          <w:rFonts w:hint="eastAsia" w:ascii="宋体" w:hAnsi="宋体" w:eastAsia="宋体" w:cs="宋体"/>
          <w:sz w:val="24"/>
          <w:szCs w:val="24"/>
        </w:rPr>
        <w:t>.......2</w:t>
      </w:r>
      <w:r>
        <w:rPr>
          <w:rFonts w:hint="eastAsia" w:ascii="宋体" w:hAnsi="宋体" w:cs="宋体"/>
          <w:sz w:val="24"/>
          <w:szCs w:val="24"/>
          <w:lang w:val="en-US" w:eastAsia="zh-CN"/>
        </w:rPr>
        <w:t>8</w:t>
      </w:r>
      <w:r>
        <w:rPr>
          <w:rFonts w:hint="eastAsia" w:ascii="宋体" w:hAnsi="宋体" w:eastAsia="宋体" w:cs="宋体"/>
          <w:sz w:val="24"/>
          <w:szCs w:val="24"/>
        </w:rPr>
        <w:t>十二、国有资本经营预算财政拨款支出决算表.......................2</w:t>
      </w:r>
      <w:r>
        <w:rPr>
          <w:rFonts w:hint="eastAsia" w:ascii="宋体" w:hAnsi="宋体" w:cs="宋体"/>
          <w:sz w:val="24"/>
          <w:szCs w:val="24"/>
          <w:lang w:val="en-US" w:eastAsia="zh-CN"/>
        </w:rPr>
        <w:t>8</w:t>
      </w:r>
    </w:p>
    <w:p>
      <w:pPr>
        <w:pStyle w:val="13"/>
        <w:pageBreakBefore w:val="0"/>
        <w:widowControl w:val="0"/>
        <w:kinsoku/>
        <w:wordWrap/>
        <w:overflowPunct/>
        <w:topLinePunct w:val="0"/>
        <w:autoSpaceDE/>
        <w:autoSpaceDN/>
        <w:bidi w:val="0"/>
        <w:adjustRightInd w:val="0"/>
        <w:snapToGrid w:val="0"/>
        <w:spacing w:line="420" w:lineRule="exact"/>
        <w:jc w:val="left"/>
        <w:textAlignment w:val="auto"/>
        <w:rPr>
          <w:rFonts w:hint="default" w:ascii="宋体" w:hAnsi="宋体" w:eastAsia="宋体" w:cs="宋体"/>
          <w:sz w:val="24"/>
          <w:szCs w:val="24"/>
          <w:lang w:val="en-US"/>
        </w:rPr>
      </w:pPr>
      <w:r>
        <w:rPr>
          <w:rFonts w:hint="eastAsia" w:ascii="宋体" w:hAnsi="宋体" w:eastAsia="宋体" w:cs="宋体"/>
          <w:sz w:val="24"/>
          <w:szCs w:val="24"/>
        </w:rPr>
        <w:t>十三、财政拨款“三公”经费支出决</w:t>
      </w:r>
      <w:r>
        <w:rPr>
          <w:rFonts w:hint="eastAsia" w:ascii="宋体" w:hAnsi="宋体" w:cs="宋体"/>
          <w:sz w:val="24"/>
          <w:szCs w:val="24"/>
          <w:lang w:val="en-US" w:eastAsia="zh-CN"/>
        </w:rPr>
        <w:t>算表</w:t>
      </w:r>
      <w:r>
        <w:rPr>
          <w:rFonts w:hint="eastAsia" w:ascii="宋体" w:hAnsi="宋体" w:eastAsia="宋体" w:cs="宋体"/>
          <w:sz w:val="24"/>
          <w:szCs w:val="24"/>
        </w:rPr>
        <w:t>..............................</w:t>
      </w:r>
      <w:r>
        <w:rPr>
          <w:rFonts w:hint="eastAsia" w:ascii="宋体" w:hAnsi="宋体" w:cs="宋体"/>
          <w:sz w:val="24"/>
          <w:szCs w:val="24"/>
          <w:lang w:val="en-US" w:eastAsia="zh-CN"/>
        </w:rPr>
        <w:t>28</w:t>
      </w:r>
    </w:p>
    <w:p>
      <w:pPr>
        <w:pStyle w:val="3"/>
        <w:pageBreakBefore w:val="0"/>
        <w:widowControl w:val="0"/>
        <w:kinsoku/>
        <w:wordWrap/>
        <w:overflowPunct/>
        <w:topLinePunct w:val="0"/>
        <w:autoSpaceDE/>
        <w:autoSpaceDN/>
        <w:bidi w:val="0"/>
        <w:spacing w:line="420" w:lineRule="exact"/>
        <w:jc w:val="center"/>
        <w:textAlignment w:val="auto"/>
        <w:rPr>
          <w:rFonts w:hint="eastAsia" w:ascii="宋体" w:hAnsi="宋体" w:eastAsia="宋体" w:cs="宋体"/>
          <w:b w:val="0"/>
          <w:sz w:val="24"/>
          <w:szCs w:val="24"/>
        </w:rPr>
        <w:sectPr>
          <w:footerReference r:id="rId5" w:type="first"/>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bookmarkStart w:id="6" w:name="_Toc15377196"/>
      <w:bookmarkStart w:id="7" w:name="_Toc15396599"/>
    </w:p>
    <w:p>
      <w:pPr>
        <w:pStyle w:val="3"/>
        <w:keepNext w:val="0"/>
        <w:keepLines w:val="0"/>
        <w:jc w:val="center"/>
        <w:rPr>
          <w:rStyle w:val="20"/>
          <w:rFonts w:ascii="黑体" w:hAnsi="黑体" w:eastAsia="黑体"/>
          <w:b/>
          <w:bCs w:val="0"/>
        </w:rPr>
      </w:pPr>
      <w:r>
        <w:rPr>
          <w:rFonts w:hint="eastAsia" w:ascii="黑体" w:hAnsi="黑体" w:eastAsia="黑体"/>
          <w:b w:val="0"/>
        </w:rPr>
        <w:t xml:space="preserve">第一部分 </w:t>
      </w:r>
      <w:r>
        <w:rPr>
          <w:rStyle w:val="20"/>
          <w:rFonts w:hint="eastAsia" w:ascii="黑体" w:hAnsi="黑体" w:eastAsia="黑体"/>
          <w:b w:val="0"/>
          <w:bCs w:val="0"/>
          <w:lang w:eastAsia="zh-CN"/>
        </w:rPr>
        <w:t>单位</w:t>
      </w:r>
      <w:r>
        <w:rPr>
          <w:rStyle w:val="20"/>
          <w:rFonts w:hint="eastAsia" w:ascii="黑体" w:hAnsi="黑体" w:eastAsia="黑体"/>
          <w:b w:val="0"/>
          <w:bCs w:val="0"/>
        </w:rPr>
        <w:t>概况</w:t>
      </w:r>
      <w:bookmarkEnd w:id="6"/>
      <w:bookmarkEnd w:id="7"/>
    </w:p>
    <w:p>
      <w:pPr>
        <w:pStyle w:val="4"/>
        <w:keepNext w:val="0"/>
        <w:keepLines w:val="0"/>
        <w:spacing w:line="415" w:lineRule="auto"/>
        <w:ind w:firstLine="640" w:firstLineChars="200"/>
        <w:rPr>
          <w:rFonts w:ascii="黑体" w:eastAsia="黑体"/>
          <w:b w:val="0"/>
        </w:rPr>
      </w:pPr>
      <w:r>
        <w:rPr>
          <w:rFonts w:hint="eastAsia" w:ascii="黑体" w:eastAsia="黑体"/>
          <w:b w:val="0"/>
        </w:rPr>
        <w:t>一、</w:t>
      </w:r>
      <w:r>
        <w:rPr>
          <w:rFonts w:hint="eastAsia" w:ascii="黑体" w:eastAsia="黑体"/>
          <w:b w:val="0"/>
          <w:lang w:eastAsia="zh-CN"/>
        </w:rPr>
        <w:t>主要</w:t>
      </w:r>
      <w:r>
        <w:rPr>
          <w:rFonts w:hint="eastAsia" w:ascii="黑体" w:eastAsia="黑体"/>
          <w:b w:val="0"/>
        </w:rPr>
        <w:t>职责</w:t>
      </w:r>
    </w:p>
    <w:p>
      <w:pPr>
        <w:adjustRightInd w:val="0"/>
        <w:snapToGrid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1．依法审判法律规定由基层法院管辖的刑事、民事、行政第一审案件。</w:t>
      </w:r>
    </w:p>
    <w:p>
      <w:pPr>
        <w:adjustRightInd w:val="0"/>
        <w:snapToGrid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2．审判上级法院指定管辖、发回重审、本院一审案件发生法律效力后按审判监督程序进行再审的案件和申诉案件。</w:t>
      </w:r>
    </w:p>
    <w:p>
      <w:pPr>
        <w:adjustRightInd w:val="0"/>
        <w:snapToGrid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3．复议本院作出的具有权利义务法律关系的各种决定。</w:t>
      </w:r>
    </w:p>
    <w:p>
      <w:pPr>
        <w:adjustRightInd w:val="0"/>
        <w:snapToGrid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4．执行本院已发生法律效力的判决、裁定、决定和调解法律文书。</w:t>
      </w:r>
    </w:p>
    <w:p>
      <w:pPr>
        <w:adjustRightInd w:val="0"/>
        <w:snapToGrid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5．依法行使司法决定权和执行权。</w:t>
      </w:r>
    </w:p>
    <w:p>
      <w:pPr>
        <w:adjustRightInd w:val="0"/>
        <w:snapToGrid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6．负责办理审判工作中提出的具体适用法律方面问题的请示报告。</w:t>
      </w:r>
    </w:p>
    <w:p>
      <w:pPr>
        <w:adjustRightInd w:val="0"/>
        <w:snapToGrid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7．对案件审理中发现的问题提出司法建议。</w:t>
      </w:r>
    </w:p>
    <w:p>
      <w:pPr>
        <w:adjustRightInd w:val="0"/>
        <w:snapToGrid w:val="0"/>
        <w:spacing w:line="60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8．负责本单位的思想政治、教育培训工作，协同有关</w:t>
      </w:r>
      <w:r>
        <w:rPr>
          <w:rFonts w:hint="eastAsia" w:ascii="仿宋_GB2312" w:hAnsi="仿宋_GB2312" w:eastAsia="仿宋_GB2312" w:cs="仿宋_GB2312"/>
          <w:color w:val="000000"/>
          <w:kern w:val="0"/>
          <w:sz w:val="32"/>
          <w:szCs w:val="32"/>
          <w:lang w:eastAsia="zh-CN"/>
        </w:rPr>
        <w:t>单位</w:t>
      </w:r>
      <w:r>
        <w:rPr>
          <w:rFonts w:hint="eastAsia" w:ascii="仿宋_GB2312" w:hAnsi="仿宋_GB2312" w:eastAsia="仿宋_GB2312" w:cs="仿宋_GB2312"/>
          <w:color w:val="000000"/>
          <w:kern w:val="0"/>
          <w:sz w:val="32"/>
          <w:szCs w:val="32"/>
        </w:rPr>
        <w:t>管理本院机构设置、人员编制和中层领导班子。</w:t>
      </w:r>
    </w:p>
    <w:p>
      <w:pPr>
        <w:pStyle w:val="2"/>
        <w:adjustRightInd w:val="0"/>
        <w:snapToGrid w:val="0"/>
        <w:spacing w:beforeLines="0" w:line="600" w:lineRule="exact"/>
        <w:ind w:firstLine="640" w:firstLineChars="200"/>
        <w:outlineLvl w:val="2"/>
        <w:rPr>
          <w:rFonts w:hAnsi="仿宋_GB2312" w:cs="仿宋_GB2312"/>
        </w:rPr>
      </w:pPr>
      <w:r>
        <w:rPr>
          <w:rFonts w:hint="eastAsia" w:hAnsi="仿宋_GB2312" w:cs="仿宋_GB2312"/>
          <w:color w:val="000000"/>
          <w:sz w:val="32"/>
          <w:szCs w:val="32"/>
        </w:rPr>
        <w:t>9．参与社会治安综合治理及其他应由县法院负责的工作。</w:t>
      </w:r>
    </w:p>
    <w:p>
      <w:pPr>
        <w:pStyle w:val="4"/>
        <w:rPr>
          <w:rFonts w:ascii="仿宋_GB2312" w:hAnsi="仿宋_GB2312" w:eastAsia="仿宋_GB2312" w:cs="仿宋_GB2312"/>
          <w:b w:val="0"/>
        </w:rPr>
        <w:sectPr>
          <w:footerReference r:id="rId7" w:type="first"/>
          <w:footerReference r:id="rId6" w:type="default"/>
          <w:pgSz w:w="11906" w:h="16838"/>
          <w:pgMar w:top="1440" w:right="1800" w:bottom="1440" w:left="1800" w:header="851" w:footer="992" w:gutter="0"/>
          <w:pgNumType w:start="1"/>
          <w:cols w:space="425" w:num="1"/>
          <w:titlePg/>
          <w:docGrid w:type="lines" w:linePitch="312" w:charSpace="0"/>
        </w:sectPr>
      </w:pPr>
      <w:bookmarkStart w:id="8" w:name="_Toc15396601"/>
      <w:bookmarkStart w:id="9" w:name="_Toc15377200"/>
    </w:p>
    <w:p>
      <w:pPr>
        <w:pStyle w:val="4"/>
        <w:keepNext w:val="0"/>
        <w:keepLines w:val="0"/>
        <w:spacing w:line="415" w:lineRule="auto"/>
        <w:ind w:firstLine="640" w:firstLineChars="200"/>
        <w:rPr>
          <w:rStyle w:val="21"/>
          <w:b w:val="0"/>
          <w:bCs w:val="0"/>
        </w:rPr>
      </w:pPr>
      <w:r>
        <w:rPr>
          <w:rFonts w:hint="eastAsia" w:ascii="黑体" w:eastAsia="黑体"/>
          <w:b w:val="0"/>
        </w:rPr>
        <w:t>二、</w:t>
      </w:r>
      <w:r>
        <w:rPr>
          <w:rFonts w:hint="eastAsia" w:ascii="黑体" w:hAnsi="黑体" w:eastAsia="黑体"/>
          <w:b w:val="0"/>
        </w:rPr>
        <w:t>机</w:t>
      </w:r>
      <w:r>
        <w:rPr>
          <w:rStyle w:val="21"/>
          <w:rFonts w:hint="eastAsia" w:ascii="黑体" w:hAnsi="黑体" w:eastAsia="黑体"/>
          <w:b w:val="0"/>
          <w:bCs w:val="0"/>
        </w:rPr>
        <w:t>构设置</w:t>
      </w:r>
      <w:bookmarkEnd w:id="8"/>
      <w:bookmarkEnd w:id="9"/>
    </w:p>
    <w:p>
      <w:pPr>
        <w:ind w:firstLine="800" w:firstLineChars="250"/>
        <w:rPr>
          <w:rFonts w:hint="eastAsia" w:ascii="仿宋_GB2312" w:hAnsi="仿宋_GB2312" w:eastAsia="仿宋_GB2312" w:cs="仿宋_GB2312"/>
          <w:color w:val="000000" w:themeColor="text1"/>
        </w:rPr>
      </w:pPr>
      <w:r>
        <w:rPr>
          <w:rFonts w:hint="eastAsia" w:ascii="仿宋_GB2312" w:hAnsi="仿宋_GB2312" w:eastAsia="仿宋_GB2312" w:cs="仿宋_GB2312"/>
          <w:sz w:val="32"/>
          <w:szCs w:val="32"/>
          <w:lang w:eastAsia="zh-CN"/>
        </w:rPr>
        <w:t>我单位属</w:t>
      </w:r>
      <w:r>
        <w:rPr>
          <w:rFonts w:hint="eastAsia" w:ascii="仿宋_GB2312" w:hAnsi="仿宋_GB2312" w:eastAsia="仿宋_GB2312" w:cs="仿宋_GB2312"/>
          <w:sz w:val="32"/>
          <w:szCs w:val="32"/>
        </w:rPr>
        <w:t>苍溪县人民法院</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下属二级预算单位</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rPr>
        <w:t>行政单位1个。</w:t>
      </w:r>
      <w:r>
        <w:rPr>
          <w:rFonts w:hint="eastAsia" w:ascii="仿宋" w:hAnsi="仿宋" w:eastAsia="仿宋"/>
          <w:sz w:val="32"/>
          <w:szCs w:val="32"/>
          <w:lang w:val="en-US" w:eastAsia="zh-CN"/>
        </w:rPr>
        <w:t xml:space="preserve"> </w:t>
      </w:r>
      <w:r>
        <w:rPr>
          <w:rFonts w:hint="eastAsia" w:ascii="仿宋_GB2312" w:hAnsi="仿宋_GB2312" w:eastAsia="仿宋_GB2312" w:cs="仿宋_GB2312"/>
          <w:color w:val="000000" w:themeColor="text1"/>
          <w:sz w:val="32"/>
          <w:szCs w:val="32"/>
        </w:rPr>
        <w:t>纳入苍溪县人民法院2023年度部门决算编制范围的二级预算单位包括：苍溪县人民法院。</w:t>
      </w:r>
    </w:p>
    <w:p>
      <w:pPr>
        <w:widowControl/>
        <w:jc w:val="left"/>
        <w:rPr>
          <w:rFonts w:ascii="仿宋" w:hAnsi="仿宋" w:eastAsia="仿宋"/>
          <w:kern w:val="0"/>
          <w:sz w:val="32"/>
          <w:szCs w:val="32"/>
        </w:rPr>
      </w:pPr>
      <w:r>
        <w:rPr>
          <w:rFonts w:ascii="仿宋" w:hAnsi="仿宋" w:eastAsia="仿宋"/>
          <w:sz w:val="32"/>
          <w:szCs w:val="32"/>
        </w:rPr>
        <w:br w:type="page"/>
      </w:r>
    </w:p>
    <w:p>
      <w:pPr>
        <w:widowControl/>
        <w:jc w:val="left"/>
        <w:rPr>
          <w:rFonts w:ascii="仿宋" w:hAnsi="仿宋" w:eastAsia="仿宋"/>
          <w:kern w:val="0"/>
          <w:sz w:val="32"/>
          <w:szCs w:val="32"/>
        </w:rPr>
      </w:pPr>
    </w:p>
    <w:p>
      <w:pPr>
        <w:pStyle w:val="3"/>
        <w:keepNext w:val="0"/>
        <w:keepLines w:val="0"/>
        <w:ind w:right="442" w:firstLine="440" w:firstLineChars="100"/>
        <w:rPr>
          <w:rStyle w:val="20"/>
          <w:rFonts w:ascii="黑体" w:hAnsi="黑体" w:eastAsia="黑体"/>
          <w:b w:val="0"/>
          <w:bCs/>
        </w:rPr>
      </w:pPr>
      <w:bookmarkStart w:id="10" w:name="_Toc15377204"/>
      <w:bookmarkStart w:id="11" w:name="_Toc15396602"/>
      <w:r>
        <w:rPr>
          <w:rFonts w:hint="eastAsia" w:ascii="黑体" w:hAnsi="黑体" w:eastAsia="黑体"/>
          <w:b w:val="0"/>
        </w:rPr>
        <w:t>第二部分 2023年度</w:t>
      </w:r>
      <w:r>
        <w:rPr>
          <w:rStyle w:val="20"/>
          <w:rFonts w:hint="eastAsia" w:ascii="黑体" w:hAnsi="黑体" w:eastAsia="黑体"/>
          <w:b w:val="0"/>
          <w:bCs/>
          <w:lang w:eastAsia="zh-CN"/>
        </w:rPr>
        <w:t>单位</w:t>
      </w:r>
      <w:r>
        <w:rPr>
          <w:rStyle w:val="20"/>
          <w:rFonts w:hint="eastAsia" w:ascii="黑体" w:hAnsi="黑体" w:eastAsia="黑体"/>
          <w:b w:val="0"/>
          <w:bCs/>
        </w:rPr>
        <w:t>决算情况说明</w:t>
      </w:r>
      <w:bookmarkEnd w:id="10"/>
      <w:bookmarkEnd w:id="11"/>
    </w:p>
    <w:p>
      <w:pPr>
        <w:pStyle w:val="31"/>
        <w:numPr>
          <w:ilvl w:val="0"/>
          <w:numId w:val="1"/>
        </w:numPr>
        <w:spacing w:line="600" w:lineRule="exact"/>
        <w:ind w:firstLineChars="0"/>
        <w:outlineLvl w:val="1"/>
        <w:rPr>
          <w:rStyle w:val="21"/>
          <w:rFonts w:ascii="黑体" w:hAnsi="黑体" w:eastAsia="黑体"/>
          <w:b w:val="0"/>
        </w:rPr>
      </w:pPr>
      <w:bookmarkStart w:id="12" w:name="_Toc15396603"/>
      <w:bookmarkStart w:id="13" w:name="_Toc15377205"/>
      <w:r>
        <w:rPr>
          <w:rFonts w:hint="eastAsia" w:ascii="黑体" w:hAnsi="黑体" w:eastAsia="黑体"/>
          <w:sz w:val="32"/>
          <w:szCs w:val="32"/>
        </w:rPr>
        <w:t>收</w:t>
      </w:r>
      <w:r>
        <w:rPr>
          <w:rStyle w:val="21"/>
          <w:rFonts w:hint="eastAsia" w:ascii="黑体" w:hAnsi="黑体" w:eastAsia="黑体"/>
          <w:b w:val="0"/>
        </w:rPr>
        <w:t>入支出决算总体情况说明</w:t>
      </w:r>
      <w:bookmarkEnd w:id="12"/>
      <w:bookmarkEnd w:id="13"/>
    </w:p>
    <w:p>
      <w:pPr>
        <w:spacing w:line="600" w:lineRule="exact"/>
        <w:ind w:firstLine="640" w:firstLineChars="200"/>
        <w:rPr>
          <w:rFonts w:ascii="仿宋" w:hAnsi="仿宋" w:eastAsia="仿宋"/>
          <w:sz w:val="32"/>
          <w:szCs w:val="32"/>
          <w:highlight w:val="none"/>
        </w:rPr>
      </w:pPr>
      <w:r>
        <w:rPr>
          <w:rFonts w:hint="eastAsia" w:ascii="仿宋_GB2312" w:hAnsi="仿宋_GB2312" w:eastAsia="仿宋_GB2312"/>
          <w:color w:val="000000"/>
          <w:sz w:val="32"/>
          <w:lang w:val="zh-CN"/>
        </w:rPr>
        <w:t>202</w:t>
      </w:r>
      <w:r>
        <w:rPr>
          <w:rFonts w:hint="eastAsia" w:ascii="仿宋_GB2312" w:hAnsi="仿宋_GB2312" w:eastAsia="仿宋_GB2312"/>
          <w:color w:val="000000"/>
          <w:sz w:val="32"/>
        </w:rPr>
        <w:t>3</w:t>
      </w:r>
      <w:r>
        <w:rPr>
          <w:rFonts w:hint="eastAsia" w:ascii="仿宋_GB2312" w:hAnsi="仿宋_GB2312" w:eastAsia="仿宋_GB2312"/>
          <w:color w:val="000000"/>
          <w:sz w:val="32"/>
          <w:lang w:val="zh-CN"/>
        </w:rPr>
        <w:t>年度收、支总计</w:t>
      </w:r>
      <w:r>
        <w:rPr>
          <w:rFonts w:hint="eastAsia" w:ascii="仿宋_GB2312" w:hAnsi="仿宋_GB2312" w:eastAsia="仿宋_GB2312"/>
          <w:color w:val="000000"/>
          <w:sz w:val="32"/>
        </w:rPr>
        <w:t>3461.39</w:t>
      </w:r>
      <w:r>
        <w:rPr>
          <w:rFonts w:hint="eastAsia" w:ascii="仿宋_GB2312" w:hAnsi="仿宋_GB2312" w:eastAsia="仿宋_GB2312"/>
          <w:color w:val="000000"/>
          <w:sz w:val="32"/>
          <w:lang w:val="zh-CN"/>
        </w:rPr>
        <w:t>万元。与202</w:t>
      </w:r>
      <w:r>
        <w:rPr>
          <w:rFonts w:hint="eastAsia" w:ascii="仿宋_GB2312" w:hAnsi="仿宋_GB2312" w:eastAsia="仿宋_GB2312"/>
          <w:color w:val="000000"/>
          <w:sz w:val="32"/>
        </w:rPr>
        <w:t>2</w:t>
      </w:r>
      <w:r>
        <w:rPr>
          <w:rFonts w:hint="eastAsia" w:ascii="仿宋_GB2312" w:hAnsi="仿宋_GB2312" w:eastAsia="仿宋_GB2312"/>
          <w:color w:val="000000"/>
          <w:sz w:val="32"/>
          <w:lang w:val="zh-CN"/>
        </w:rPr>
        <w:t>年相比，收、支总计各增加</w:t>
      </w:r>
      <w:r>
        <w:rPr>
          <w:rFonts w:hint="eastAsia" w:ascii="仿宋_GB2312" w:hAnsi="仿宋_GB2312" w:eastAsia="仿宋_GB2312"/>
          <w:color w:val="000000"/>
          <w:sz w:val="32"/>
        </w:rPr>
        <w:t>190.46</w:t>
      </w:r>
      <w:r>
        <w:rPr>
          <w:rFonts w:hint="eastAsia" w:ascii="仿宋_GB2312" w:hAnsi="仿宋_GB2312" w:eastAsia="仿宋_GB2312"/>
          <w:color w:val="000000"/>
          <w:sz w:val="32"/>
          <w:lang w:val="zh-CN"/>
        </w:rPr>
        <w:t>万元，增长</w:t>
      </w:r>
      <w:r>
        <w:rPr>
          <w:rFonts w:hint="eastAsia" w:ascii="仿宋_GB2312" w:hAnsi="仿宋_GB2312" w:eastAsia="仿宋_GB2312"/>
          <w:color w:val="000000"/>
          <w:sz w:val="32"/>
        </w:rPr>
        <w:t>5.8</w:t>
      </w:r>
      <w:r>
        <w:rPr>
          <w:rFonts w:hint="eastAsia" w:ascii="仿宋_GB2312" w:hAnsi="仿宋_GB2312" w:eastAsia="仿宋_GB2312"/>
          <w:color w:val="000000"/>
          <w:sz w:val="32"/>
          <w:lang w:val="zh-CN"/>
        </w:rPr>
        <w:t>%。</w:t>
      </w:r>
      <w:r>
        <w:rPr>
          <w:rFonts w:hint="eastAsia" w:ascii="仿宋" w:hAnsi="仿宋" w:eastAsia="仿宋"/>
          <w:sz w:val="32"/>
          <w:szCs w:val="32"/>
          <w:highlight w:val="none"/>
        </w:rPr>
        <w:t>主要变动原因是</w:t>
      </w:r>
      <w:r>
        <w:rPr>
          <w:rFonts w:hint="eastAsia" w:ascii="仿宋_GB2312" w:hAnsi="宋体" w:eastAsia="仿宋_GB2312" w:cs="宋体"/>
          <w:color w:val="000000"/>
          <w:kern w:val="0"/>
          <w:sz w:val="32"/>
          <w:szCs w:val="32"/>
          <w:highlight w:val="none"/>
          <w:shd w:val="clear" w:color="auto" w:fill="FFFFFF"/>
        </w:rPr>
        <w:t>人员增加和项目增加</w:t>
      </w:r>
      <w:r>
        <w:rPr>
          <w:rFonts w:hint="eastAsia" w:ascii="仿宋" w:hAnsi="仿宋" w:eastAsia="仿宋"/>
          <w:sz w:val="32"/>
          <w:szCs w:val="32"/>
          <w:highlight w:val="none"/>
        </w:rPr>
        <w:t>。</w:t>
      </w:r>
    </w:p>
    <w:p>
      <w:pPr>
        <w:pStyle w:val="2"/>
        <w:spacing w:before="93"/>
        <w:jc w:val="center"/>
      </w:pPr>
      <w:r>
        <w:drawing>
          <wp:inline distT="0" distB="0" distL="114300" distR="114300">
            <wp:extent cx="4267200" cy="2714625"/>
            <wp:effectExtent l="4445" t="4445" r="14605" b="508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rPr>
          <w:rFonts w:ascii="仿宋_GB2312" w:eastAsia="仿宋_GB2312"/>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：收、支决算总计变动情况图）（单位：万元）</w:t>
      </w:r>
    </w:p>
    <w:p>
      <w:pPr>
        <w:pStyle w:val="31"/>
        <w:numPr>
          <w:ilvl w:val="0"/>
          <w:numId w:val="1"/>
        </w:numPr>
        <w:spacing w:line="600" w:lineRule="exact"/>
        <w:ind w:firstLineChars="0"/>
        <w:outlineLvl w:val="1"/>
        <w:rPr>
          <w:rFonts w:ascii="黑体" w:hAnsi="黑体" w:eastAsia="黑体"/>
          <w:color w:val="000000"/>
          <w:sz w:val="32"/>
          <w:lang w:val="zh-CN"/>
        </w:rPr>
      </w:pPr>
      <w:bookmarkStart w:id="14" w:name="_Toc15396604"/>
      <w:bookmarkStart w:id="15" w:name="_Toc15377206"/>
      <w:r>
        <w:rPr>
          <w:rFonts w:hint="eastAsia" w:ascii="黑体" w:hAnsi="黑体" w:eastAsia="黑体"/>
          <w:sz w:val="32"/>
          <w:szCs w:val="32"/>
        </w:rPr>
        <w:t>收</w:t>
      </w:r>
      <w:r>
        <w:rPr>
          <w:rStyle w:val="21"/>
          <w:rFonts w:hint="eastAsia" w:ascii="黑体" w:hAnsi="黑体" w:eastAsia="黑体"/>
          <w:b w:val="0"/>
        </w:rPr>
        <w:t>入决算情况说明</w:t>
      </w:r>
      <w:bookmarkEnd w:id="14"/>
      <w:bookmarkEnd w:id="15"/>
    </w:p>
    <w:p>
      <w:pPr>
        <w:pStyle w:val="31"/>
        <w:spacing w:line="600" w:lineRule="exact"/>
        <w:ind w:firstLine="640"/>
        <w:outlineLvl w:val="1"/>
        <w:rPr>
          <w:rFonts w:ascii="仿宋" w:hAnsi="仿宋" w:eastAsia="仿宋"/>
          <w:sz w:val="32"/>
          <w:szCs w:val="32"/>
        </w:rPr>
      </w:pPr>
      <w:r>
        <w:rPr>
          <w:rFonts w:hint="eastAsia" w:ascii="仿宋_GB2312" w:hAnsi="仿宋_GB2312" w:eastAsia="仿宋_GB2312"/>
          <w:color w:val="000000"/>
          <w:sz w:val="32"/>
          <w:lang w:val="zh-CN"/>
        </w:rPr>
        <w:t>202</w:t>
      </w:r>
      <w:r>
        <w:rPr>
          <w:rFonts w:hint="eastAsia" w:ascii="仿宋_GB2312" w:hAnsi="仿宋_GB2312" w:eastAsia="仿宋_GB2312"/>
          <w:color w:val="000000"/>
          <w:sz w:val="32"/>
        </w:rPr>
        <w:t>3</w:t>
      </w:r>
      <w:r>
        <w:rPr>
          <w:rFonts w:hint="eastAsia" w:ascii="仿宋_GB2312" w:hAnsi="仿宋_GB2312" w:eastAsia="仿宋_GB2312"/>
          <w:color w:val="000000"/>
          <w:sz w:val="32"/>
          <w:lang w:val="zh-CN"/>
        </w:rPr>
        <w:t>年本年收入合计</w:t>
      </w:r>
      <w:r>
        <w:rPr>
          <w:rFonts w:hint="eastAsia" w:ascii="仿宋_GB2312" w:hAnsi="仿宋_GB2312" w:eastAsia="仿宋_GB2312"/>
          <w:color w:val="000000"/>
          <w:sz w:val="32"/>
        </w:rPr>
        <w:t>3461.39</w:t>
      </w:r>
      <w:r>
        <w:rPr>
          <w:rFonts w:hint="eastAsia" w:ascii="仿宋_GB2312" w:hAnsi="仿宋_GB2312" w:eastAsia="仿宋_GB2312"/>
          <w:color w:val="000000"/>
          <w:sz w:val="32"/>
          <w:lang w:val="zh-CN"/>
        </w:rPr>
        <w:t>万元，其中：一般公共预算财政拨款收入</w:t>
      </w:r>
      <w:r>
        <w:rPr>
          <w:rFonts w:hint="eastAsia" w:ascii="仿宋_GB2312" w:hAnsi="仿宋_GB2312" w:eastAsia="仿宋_GB2312"/>
          <w:color w:val="000000"/>
          <w:sz w:val="32"/>
        </w:rPr>
        <w:t>2720.4</w:t>
      </w:r>
      <w:r>
        <w:rPr>
          <w:rFonts w:hint="eastAsia" w:ascii="仿宋_GB2312" w:hAnsi="仿宋_GB2312" w:eastAsia="仿宋_GB2312"/>
          <w:color w:val="000000"/>
          <w:sz w:val="32"/>
          <w:lang w:val="zh-CN"/>
        </w:rPr>
        <w:t>万元，占7</w:t>
      </w:r>
      <w:r>
        <w:rPr>
          <w:rFonts w:hint="eastAsia" w:ascii="仿宋_GB2312" w:hAnsi="仿宋_GB2312" w:eastAsia="仿宋_GB2312"/>
          <w:color w:val="000000"/>
          <w:sz w:val="32"/>
        </w:rPr>
        <w:t>8</w:t>
      </w:r>
      <w:r>
        <w:rPr>
          <w:rFonts w:hint="eastAsia" w:ascii="仿宋_GB2312" w:hAnsi="仿宋_GB2312" w:eastAsia="仿宋_GB2312"/>
          <w:color w:val="000000"/>
          <w:sz w:val="32"/>
          <w:lang w:val="zh-CN"/>
        </w:rPr>
        <w:t>.</w:t>
      </w:r>
      <w:r>
        <w:rPr>
          <w:rFonts w:hint="eastAsia" w:ascii="仿宋_GB2312" w:hAnsi="仿宋_GB2312" w:eastAsia="仿宋_GB2312"/>
          <w:color w:val="000000"/>
          <w:sz w:val="32"/>
        </w:rPr>
        <w:t>6</w:t>
      </w:r>
      <w:r>
        <w:rPr>
          <w:rFonts w:hint="eastAsia" w:ascii="仿宋_GB2312" w:hAnsi="仿宋_GB2312" w:eastAsia="仿宋_GB2312"/>
          <w:color w:val="000000"/>
          <w:sz w:val="32"/>
          <w:lang w:val="zh-CN"/>
        </w:rPr>
        <w:t>%；其他收入</w:t>
      </w:r>
      <w:r>
        <w:rPr>
          <w:rFonts w:hint="eastAsia" w:ascii="仿宋_GB2312" w:hAnsi="仿宋_GB2312" w:eastAsia="仿宋_GB2312"/>
          <w:color w:val="000000"/>
          <w:sz w:val="32"/>
        </w:rPr>
        <w:t>741</w:t>
      </w:r>
      <w:r>
        <w:rPr>
          <w:rFonts w:hint="eastAsia" w:ascii="仿宋_GB2312" w:hAnsi="仿宋_GB2312" w:eastAsia="仿宋_GB2312"/>
          <w:color w:val="000000"/>
          <w:sz w:val="32"/>
          <w:lang w:val="zh-CN"/>
        </w:rPr>
        <w:t>万元，占</w:t>
      </w:r>
      <w:r>
        <w:rPr>
          <w:rFonts w:hint="eastAsia" w:ascii="仿宋_GB2312" w:hAnsi="仿宋_GB2312" w:eastAsia="仿宋_GB2312"/>
          <w:color w:val="000000"/>
          <w:sz w:val="32"/>
        </w:rPr>
        <w:t>21.4</w:t>
      </w:r>
      <w:r>
        <w:rPr>
          <w:rFonts w:hint="eastAsia" w:ascii="仿宋_GB2312" w:hAnsi="仿宋_GB2312" w:eastAsia="仿宋_GB2312"/>
          <w:color w:val="000000"/>
          <w:sz w:val="32"/>
          <w:lang w:val="zh-CN"/>
        </w:rPr>
        <w:t>%。</w:t>
      </w:r>
    </w:p>
    <w:p>
      <w:pPr>
        <w:ind w:firstLine="420" w:firstLineChars="200"/>
        <w:outlineLvl w:val="1"/>
        <w:rPr>
          <w:rFonts w:ascii="仿宋" w:hAnsi="仿宋" w:eastAsia="仿宋"/>
          <w:sz w:val="32"/>
          <w:szCs w:val="32"/>
        </w:rPr>
      </w:pPr>
      <w:r>
        <w:drawing>
          <wp:inline distT="0" distB="0" distL="114300" distR="114300">
            <wp:extent cx="4572000" cy="2743200"/>
            <wp:effectExtent l="4445" t="4445" r="14605" b="1460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1280" w:firstLineChars="400"/>
        <w:rPr>
          <w:rFonts w:ascii="仿宋" w:hAnsi="仿宋" w:eastAsia="仿宋"/>
          <w:sz w:val="32"/>
          <w:szCs w:val="32"/>
        </w:rPr>
      </w:pPr>
      <w:r>
        <w:rPr>
          <w:rFonts w:hint="eastAsia" w:ascii="仿宋" w:hAnsi="仿宋" w:eastAsia="仿宋"/>
          <w:sz w:val="32"/>
          <w:szCs w:val="32"/>
        </w:rPr>
        <w:t>（图2：收入决算结构图）（饼状图）</w:t>
      </w:r>
    </w:p>
    <w:p>
      <w:pPr>
        <w:spacing w:line="600" w:lineRule="exact"/>
        <w:ind w:firstLine="640" w:firstLineChars="200"/>
        <w:rPr>
          <w:rFonts w:ascii="仿宋_GB2312" w:eastAsia="仿宋_GB2312"/>
          <w:sz w:val="32"/>
          <w:szCs w:val="32"/>
        </w:rPr>
      </w:pPr>
    </w:p>
    <w:p>
      <w:pPr>
        <w:pStyle w:val="31"/>
        <w:numPr>
          <w:ilvl w:val="0"/>
          <w:numId w:val="1"/>
        </w:numPr>
        <w:spacing w:line="600" w:lineRule="exact"/>
        <w:ind w:firstLineChars="0"/>
        <w:outlineLvl w:val="1"/>
        <w:rPr>
          <w:rStyle w:val="21"/>
          <w:rFonts w:ascii="黑体" w:hAnsi="黑体" w:eastAsia="黑体"/>
          <w:b w:val="0"/>
        </w:rPr>
      </w:pPr>
      <w:bookmarkStart w:id="16" w:name="_Toc15377207"/>
      <w:bookmarkStart w:id="17" w:name="_Toc15396605"/>
      <w:r>
        <w:rPr>
          <w:rFonts w:hint="eastAsia" w:ascii="黑体" w:hAnsi="黑体" w:eastAsia="黑体"/>
          <w:sz w:val="32"/>
          <w:szCs w:val="32"/>
        </w:rPr>
        <w:t>支</w:t>
      </w:r>
      <w:r>
        <w:rPr>
          <w:rStyle w:val="21"/>
          <w:rFonts w:hint="eastAsia" w:ascii="黑体" w:hAnsi="黑体" w:eastAsia="黑体"/>
          <w:b w:val="0"/>
        </w:rPr>
        <w:t>出决算情况说明</w:t>
      </w:r>
      <w:bookmarkEnd w:id="16"/>
      <w:bookmarkEnd w:id="17"/>
    </w:p>
    <w:p>
      <w:pPr>
        <w:spacing w:line="600" w:lineRule="exact"/>
        <w:ind w:firstLine="640" w:firstLineChars="200"/>
        <w:outlineLvl w:val="1"/>
        <w:rPr>
          <w:rFonts w:ascii="仿宋" w:hAnsi="仿宋" w:eastAsia="仿宋"/>
          <w:sz w:val="32"/>
          <w:szCs w:val="32"/>
        </w:rPr>
      </w:pPr>
      <w:r>
        <w:rPr>
          <w:rFonts w:hint="eastAsia" w:ascii="仿宋_GB2312" w:hAnsi="仿宋_GB2312" w:eastAsia="仿宋_GB2312"/>
          <w:color w:val="000000"/>
          <w:sz w:val="32"/>
          <w:lang w:val="zh-CN"/>
        </w:rPr>
        <w:t>202</w:t>
      </w:r>
      <w:r>
        <w:rPr>
          <w:rFonts w:hint="eastAsia" w:ascii="仿宋_GB2312" w:hAnsi="仿宋_GB2312" w:eastAsia="仿宋_GB2312"/>
          <w:color w:val="000000"/>
          <w:sz w:val="32"/>
        </w:rPr>
        <w:t>3</w:t>
      </w:r>
      <w:r>
        <w:rPr>
          <w:rFonts w:hint="eastAsia" w:ascii="仿宋_GB2312" w:hAnsi="仿宋_GB2312" w:eastAsia="仿宋_GB2312"/>
          <w:color w:val="000000"/>
          <w:sz w:val="32"/>
          <w:lang w:val="zh-CN"/>
        </w:rPr>
        <w:t>年本年支出合计</w:t>
      </w:r>
      <w:r>
        <w:rPr>
          <w:rFonts w:hint="eastAsia" w:ascii="仿宋_GB2312" w:hAnsi="仿宋_GB2312" w:eastAsia="仿宋_GB2312"/>
          <w:color w:val="000000"/>
          <w:sz w:val="32"/>
        </w:rPr>
        <w:t>3461.39</w:t>
      </w:r>
      <w:r>
        <w:rPr>
          <w:rFonts w:hint="eastAsia" w:ascii="仿宋_GB2312" w:hAnsi="仿宋_GB2312" w:eastAsia="仿宋_GB2312"/>
          <w:color w:val="000000"/>
          <w:sz w:val="32"/>
          <w:lang w:val="zh-CN"/>
        </w:rPr>
        <w:t>万元，其中：基本支出</w:t>
      </w:r>
      <w:r>
        <w:rPr>
          <w:rFonts w:hint="eastAsia" w:ascii="仿宋_GB2312" w:hAnsi="仿宋_GB2312" w:eastAsia="仿宋_GB2312"/>
          <w:color w:val="000000"/>
          <w:sz w:val="32"/>
        </w:rPr>
        <w:t>2828.59</w:t>
      </w:r>
      <w:r>
        <w:rPr>
          <w:rFonts w:hint="eastAsia" w:ascii="仿宋_GB2312" w:hAnsi="仿宋_GB2312" w:eastAsia="仿宋_GB2312"/>
          <w:color w:val="000000"/>
          <w:sz w:val="32"/>
          <w:lang w:val="zh-CN"/>
        </w:rPr>
        <w:t>万元，占</w:t>
      </w:r>
      <w:r>
        <w:rPr>
          <w:rFonts w:hint="eastAsia" w:ascii="仿宋_GB2312" w:hAnsi="仿宋_GB2312" w:eastAsia="仿宋_GB2312"/>
          <w:color w:val="000000"/>
          <w:sz w:val="32"/>
        </w:rPr>
        <w:t>80.2</w:t>
      </w:r>
      <w:r>
        <w:rPr>
          <w:rFonts w:hint="eastAsia" w:ascii="仿宋_GB2312" w:hAnsi="仿宋_GB2312" w:eastAsia="仿宋_GB2312"/>
          <w:color w:val="000000"/>
          <w:sz w:val="32"/>
          <w:lang w:val="zh-CN"/>
        </w:rPr>
        <w:t>%；项目支出</w:t>
      </w:r>
      <w:r>
        <w:rPr>
          <w:rFonts w:hint="eastAsia" w:ascii="仿宋_GB2312" w:hAnsi="仿宋_GB2312" w:eastAsia="仿宋_GB2312"/>
          <w:color w:val="000000"/>
          <w:sz w:val="32"/>
        </w:rPr>
        <w:t>632.8</w:t>
      </w:r>
      <w:r>
        <w:rPr>
          <w:rFonts w:hint="eastAsia" w:ascii="仿宋_GB2312" w:hAnsi="仿宋_GB2312" w:eastAsia="仿宋_GB2312"/>
          <w:color w:val="000000"/>
          <w:sz w:val="32"/>
          <w:lang w:val="zh-CN"/>
        </w:rPr>
        <w:t>万元，占</w:t>
      </w:r>
      <w:r>
        <w:rPr>
          <w:rFonts w:hint="eastAsia" w:ascii="仿宋_GB2312" w:hAnsi="仿宋_GB2312" w:eastAsia="仿宋_GB2312"/>
          <w:color w:val="000000"/>
          <w:sz w:val="32"/>
        </w:rPr>
        <w:t>18.8</w:t>
      </w:r>
      <w:r>
        <w:rPr>
          <w:rFonts w:hint="eastAsia" w:ascii="仿宋_GB2312" w:hAnsi="仿宋_GB2312" w:eastAsia="仿宋_GB2312"/>
          <w:color w:val="000000"/>
          <w:sz w:val="32"/>
          <w:lang w:val="zh-CN"/>
        </w:rPr>
        <w:t>%。</w:t>
      </w:r>
    </w:p>
    <w:p>
      <w:pPr>
        <w:ind w:firstLine="640"/>
        <w:rPr>
          <w:rFonts w:ascii="仿宋" w:hAnsi="仿宋" w:eastAsia="仿宋"/>
          <w:sz w:val="32"/>
          <w:szCs w:val="32"/>
          <w:shd w:val="pct10" w:color="auto" w:fill="FFFFFF"/>
        </w:rPr>
      </w:pPr>
      <w:r>
        <w:drawing>
          <wp:inline distT="0" distB="0" distL="114300" distR="114300">
            <wp:extent cx="4572000" cy="2743200"/>
            <wp:effectExtent l="4445" t="4445" r="14605" b="1460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960" w:firstLineChars="300"/>
        <w:rPr>
          <w:rFonts w:ascii="仿宋" w:hAnsi="仿宋" w:eastAsia="仿宋"/>
          <w:sz w:val="32"/>
          <w:szCs w:val="32"/>
        </w:rPr>
      </w:pPr>
      <w:r>
        <w:rPr>
          <w:rFonts w:hint="eastAsia" w:ascii="仿宋" w:hAnsi="仿宋" w:eastAsia="仿宋"/>
          <w:sz w:val="32"/>
          <w:szCs w:val="32"/>
        </w:rPr>
        <w:t>（图3：支出决算结构图）（饼状图）</w:t>
      </w:r>
    </w:p>
    <w:p>
      <w:pPr>
        <w:spacing w:line="600" w:lineRule="exact"/>
        <w:ind w:firstLine="640" w:firstLineChars="200"/>
        <w:rPr>
          <w:rFonts w:ascii="仿宋_GB2312" w:eastAsia="仿宋_GB2312"/>
          <w:sz w:val="32"/>
          <w:szCs w:val="32"/>
        </w:rPr>
      </w:pPr>
    </w:p>
    <w:p>
      <w:pPr>
        <w:spacing w:line="600" w:lineRule="exact"/>
        <w:ind w:firstLine="640" w:firstLineChars="200"/>
        <w:outlineLvl w:val="1"/>
        <w:rPr>
          <w:rFonts w:ascii="黑体" w:hAnsi="黑体" w:eastAsia="黑体"/>
          <w:sz w:val="32"/>
          <w:szCs w:val="32"/>
        </w:rPr>
      </w:pPr>
      <w:bookmarkStart w:id="18" w:name="_Toc15377208"/>
      <w:bookmarkStart w:id="19" w:name="_Toc15396606"/>
    </w:p>
    <w:p>
      <w:pPr>
        <w:spacing w:line="600" w:lineRule="exact"/>
        <w:ind w:firstLine="640" w:firstLineChars="200"/>
        <w:outlineLvl w:val="1"/>
        <w:rPr>
          <w:rStyle w:val="21"/>
          <w:rFonts w:ascii="黑体" w:hAnsi="黑体" w:eastAsia="黑体"/>
          <w:b w:val="0"/>
        </w:rPr>
      </w:pPr>
      <w:r>
        <w:rPr>
          <w:rFonts w:hint="eastAsia" w:ascii="黑体" w:hAnsi="黑体" w:eastAsia="黑体"/>
          <w:sz w:val="32"/>
          <w:szCs w:val="32"/>
        </w:rPr>
        <w:t>四、财</w:t>
      </w:r>
      <w:r>
        <w:rPr>
          <w:rStyle w:val="21"/>
          <w:rFonts w:hint="eastAsia" w:ascii="黑体" w:hAnsi="黑体" w:eastAsia="黑体"/>
          <w:b w:val="0"/>
        </w:rPr>
        <w:t>政拨款收入支出决算总体情况说明</w:t>
      </w:r>
      <w:bookmarkEnd w:id="18"/>
      <w:bookmarkEnd w:id="19"/>
    </w:p>
    <w:p>
      <w:pPr>
        <w:spacing w:line="600" w:lineRule="exact"/>
        <w:ind w:firstLine="640" w:firstLineChars="200"/>
        <w:rPr>
          <w:rFonts w:ascii="仿宋" w:hAnsi="仿宋" w:eastAsia="仿宋"/>
          <w:sz w:val="32"/>
          <w:szCs w:val="32"/>
          <w:highlight w:val="yellow"/>
        </w:rPr>
      </w:pPr>
      <w:r>
        <w:rPr>
          <w:rFonts w:hint="eastAsia" w:ascii="仿宋_GB2312" w:hAnsi="仿宋_GB2312" w:eastAsia="仿宋_GB2312"/>
          <w:color w:val="000000"/>
          <w:sz w:val="32"/>
          <w:lang w:val="zh-CN"/>
        </w:rPr>
        <w:t>202</w:t>
      </w:r>
      <w:r>
        <w:rPr>
          <w:rFonts w:hint="eastAsia" w:ascii="仿宋_GB2312" w:hAnsi="仿宋_GB2312" w:eastAsia="仿宋_GB2312"/>
          <w:color w:val="000000"/>
          <w:sz w:val="32"/>
        </w:rPr>
        <w:t>3</w:t>
      </w:r>
      <w:r>
        <w:rPr>
          <w:rFonts w:hint="eastAsia" w:ascii="仿宋_GB2312" w:hAnsi="仿宋_GB2312" w:eastAsia="仿宋_GB2312"/>
          <w:color w:val="000000"/>
          <w:sz w:val="32"/>
          <w:lang w:val="zh-CN"/>
        </w:rPr>
        <w:t>年财政拨款收、支总计</w:t>
      </w:r>
      <w:r>
        <w:rPr>
          <w:rFonts w:hint="eastAsia" w:ascii="仿宋_GB2312" w:hAnsi="仿宋_GB2312" w:eastAsia="仿宋_GB2312"/>
          <w:color w:val="000000"/>
          <w:sz w:val="32"/>
        </w:rPr>
        <w:t>2720.4</w:t>
      </w:r>
      <w:r>
        <w:rPr>
          <w:rFonts w:hint="eastAsia" w:ascii="仿宋_GB2312" w:hAnsi="仿宋_GB2312" w:eastAsia="仿宋_GB2312"/>
          <w:color w:val="000000"/>
          <w:sz w:val="32"/>
          <w:lang w:val="zh-CN"/>
        </w:rPr>
        <w:t>万元。与202</w:t>
      </w:r>
      <w:r>
        <w:rPr>
          <w:rFonts w:hint="eastAsia" w:ascii="仿宋_GB2312" w:hAnsi="仿宋_GB2312" w:eastAsia="仿宋_GB2312"/>
          <w:color w:val="000000"/>
          <w:sz w:val="32"/>
        </w:rPr>
        <w:t>2</w:t>
      </w:r>
      <w:r>
        <w:rPr>
          <w:rFonts w:hint="eastAsia" w:ascii="仿宋_GB2312" w:hAnsi="仿宋_GB2312" w:eastAsia="仿宋_GB2312"/>
          <w:color w:val="000000"/>
          <w:sz w:val="32"/>
          <w:lang w:val="zh-CN"/>
        </w:rPr>
        <w:t>年相</w:t>
      </w:r>
      <w:r>
        <w:rPr>
          <w:rFonts w:hint="eastAsia" w:ascii="仿宋_GB2312" w:hAnsi="仿宋_GB2312" w:eastAsia="仿宋_GB2312"/>
          <w:color w:val="000000"/>
          <w:sz w:val="32"/>
          <w:highlight w:val="none"/>
          <w:lang w:val="zh-CN"/>
        </w:rPr>
        <w:t>比，财政拨款收、支总计各增加</w:t>
      </w:r>
      <w:r>
        <w:rPr>
          <w:rFonts w:hint="eastAsia" w:ascii="仿宋_GB2312" w:hAnsi="仿宋_GB2312" w:eastAsia="仿宋_GB2312"/>
          <w:color w:val="000000"/>
          <w:sz w:val="32"/>
          <w:highlight w:val="none"/>
        </w:rPr>
        <w:t>264.53</w:t>
      </w:r>
      <w:r>
        <w:rPr>
          <w:rFonts w:hint="eastAsia" w:ascii="仿宋_GB2312" w:hAnsi="仿宋_GB2312" w:eastAsia="仿宋_GB2312"/>
          <w:color w:val="000000"/>
          <w:sz w:val="32"/>
          <w:highlight w:val="none"/>
          <w:lang w:val="zh-CN"/>
        </w:rPr>
        <w:t>万元，增长</w:t>
      </w:r>
      <w:r>
        <w:rPr>
          <w:rFonts w:hint="eastAsia" w:ascii="仿宋_GB2312" w:hAnsi="仿宋_GB2312" w:eastAsia="仿宋_GB2312"/>
          <w:color w:val="000000"/>
          <w:sz w:val="32"/>
          <w:highlight w:val="none"/>
        </w:rPr>
        <w:t>10.7</w:t>
      </w:r>
      <w:r>
        <w:rPr>
          <w:rFonts w:hint="eastAsia" w:ascii="仿宋_GB2312" w:hAnsi="仿宋_GB2312" w:eastAsia="仿宋_GB2312"/>
          <w:color w:val="000000"/>
          <w:sz w:val="32"/>
          <w:highlight w:val="none"/>
          <w:lang w:val="zh-CN"/>
        </w:rPr>
        <w:t>%。主要变动原因是</w:t>
      </w:r>
      <w:r>
        <w:rPr>
          <w:rFonts w:hint="eastAsia" w:ascii="仿宋_GB2312" w:hAnsi="宋体" w:eastAsia="仿宋_GB2312" w:cs="宋体"/>
          <w:color w:val="000000"/>
          <w:kern w:val="0"/>
          <w:sz w:val="32"/>
          <w:szCs w:val="32"/>
          <w:highlight w:val="none"/>
          <w:shd w:val="clear" w:color="auto" w:fill="FFFFFF"/>
        </w:rPr>
        <w:t>人员增加和项目增加</w:t>
      </w:r>
      <w:r>
        <w:rPr>
          <w:rFonts w:hint="eastAsia" w:ascii="仿宋" w:hAnsi="仿宋" w:eastAsia="仿宋"/>
          <w:sz w:val="32"/>
          <w:szCs w:val="32"/>
          <w:highlight w:val="none"/>
        </w:rPr>
        <w:t>。</w:t>
      </w:r>
    </w:p>
    <w:p>
      <w:pPr>
        <w:pStyle w:val="15"/>
        <w:ind w:left="420"/>
      </w:pPr>
      <w:r>
        <w:drawing>
          <wp:inline distT="0" distB="0" distL="114300" distR="114300">
            <wp:extent cx="4572000" cy="2743200"/>
            <wp:effectExtent l="4445" t="4445" r="14605" b="14605"/>
            <wp:docPr id="1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rPr>
          <w:rFonts w:ascii="仿宋" w:hAnsi="仿宋" w:eastAsia="仿宋"/>
          <w:b/>
          <w:sz w:val="32"/>
          <w:szCs w:val="32"/>
        </w:rPr>
      </w:pPr>
      <w:r>
        <w:rPr>
          <w:rFonts w:hint="eastAsia" w:ascii="仿宋" w:hAnsi="仿宋" w:eastAsia="仿宋"/>
          <w:sz w:val="32"/>
          <w:szCs w:val="32"/>
        </w:rPr>
        <w:t>（图4：财政拨款收、支决算总计变动情况）（单位：万元）</w:t>
      </w:r>
    </w:p>
    <w:p>
      <w:pPr>
        <w:spacing w:line="600" w:lineRule="exact"/>
        <w:ind w:firstLine="640" w:firstLineChars="200"/>
        <w:outlineLvl w:val="1"/>
        <w:rPr>
          <w:rStyle w:val="21"/>
          <w:rFonts w:ascii="黑体" w:hAnsi="黑体" w:eastAsia="黑体"/>
          <w:b w:val="0"/>
        </w:rPr>
      </w:pPr>
      <w:bookmarkStart w:id="20" w:name="_Toc15377209"/>
      <w:bookmarkStart w:id="21" w:name="_Toc15396607"/>
      <w:r>
        <w:rPr>
          <w:rFonts w:hint="eastAsia" w:ascii="黑体" w:hAnsi="黑体" w:eastAsia="黑体"/>
          <w:sz w:val="32"/>
          <w:szCs w:val="32"/>
        </w:rPr>
        <w:t>五、</w:t>
      </w:r>
      <w:r>
        <w:rPr>
          <w:rFonts w:hint="eastAsia" w:ascii="黑体" w:hAnsi="黑体" w:eastAsia="黑体"/>
          <w:b/>
          <w:sz w:val="32"/>
          <w:szCs w:val="32"/>
        </w:rPr>
        <w:t>一</w:t>
      </w:r>
      <w:r>
        <w:rPr>
          <w:rStyle w:val="21"/>
          <w:rFonts w:hint="eastAsia" w:ascii="黑体" w:hAnsi="黑体" w:eastAsia="黑体"/>
          <w:b w:val="0"/>
        </w:rPr>
        <w:t>般公共预算财政拨款支出决算情况说明</w:t>
      </w:r>
      <w:bookmarkEnd w:id="20"/>
      <w:bookmarkEnd w:id="21"/>
    </w:p>
    <w:p>
      <w:pPr>
        <w:spacing w:line="600" w:lineRule="exact"/>
        <w:ind w:firstLine="640" w:firstLineChars="200"/>
        <w:outlineLvl w:val="2"/>
        <w:rPr>
          <w:rFonts w:ascii="仿宋" w:hAnsi="仿宋" w:eastAsia="仿宋"/>
          <w:b/>
          <w:sz w:val="32"/>
          <w:szCs w:val="32"/>
        </w:rPr>
      </w:pPr>
      <w:bookmarkStart w:id="22" w:name="_Toc15377210"/>
      <w:r>
        <w:rPr>
          <w:rFonts w:hint="eastAsia" w:ascii="仿宋" w:hAnsi="仿宋" w:eastAsia="仿宋"/>
          <w:b/>
          <w:sz w:val="32"/>
          <w:szCs w:val="32"/>
        </w:rPr>
        <w:t>（一）一般公共预算财政拨款支出决算总体情况</w:t>
      </w:r>
      <w:bookmarkEnd w:id="22"/>
    </w:p>
    <w:p>
      <w:pPr>
        <w:spacing w:line="600" w:lineRule="exact"/>
        <w:ind w:firstLine="640" w:firstLineChars="200"/>
        <w:rPr>
          <w:rFonts w:ascii="仿宋" w:hAnsi="仿宋" w:eastAsia="仿宋"/>
          <w:sz w:val="32"/>
          <w:szCs w:val="32"/>
          <w:highlight w:val="none"/>
        </w:rPr>
      </w:pPr>
      <w:r>
        <w:rPr>
          <w:rFonts w:hint="eastAsia" w:ascii="仿宋_GB2312" w:hAnsi="仿宋_GB2312" w:eastAsia="仿宋_GB2312"/>
          <w:color w:val="000000"/>
          <w:sz w:val="32"/>
          <w:lang w:val="zh-CN"/>
        </w:rPr>
        <w:t>202</w:t>
      </w:r>
      <w:r>
        <w:rPr>
          <w:rFonts w:hint="eastAsia" w:ascii="仿宋_GB2312" w:hAnsi="仿宋_GB2312" w:eastAsia="仿宋_GB2312"/>
          <w:color w:val="000000"/>
          <w:sz w:val="32"/>
        </w:rPr>
        <w:t>3</w:t>
      </w:r>
      <w:r>
        <w:rPr>
          <w:rFonts w:hint="eastAsia" w:ascii="仿宋_GB2312" w:hAnsi="仿宋_GB2312" w:eastAsia="仿宋_GB2312"/>
          <w:color w:val="000000"/>
          <w:sz w:val="32"/>
          <w:lang w:val="zh-CN"/>
        </w:rPr>
        <w:t>年一般公共预算财政拨款支出</w:t>
      </w:r>
      <w:r>
        <w:rPr>
          <w:rFonts w:hint="eastAsia" w:ascii="仿宋_GB2312" w:hAnsi="仿宋_GB2312" w:eastAsia="仿宋_GB2312"/>
          <w:color w:val="000000"/>
          <w:sz w:val="32"/>
        </w:rPr>
        <w:t>2720.4</w:t>
      </w:r>
      <w:r>
        <w:rPr>
          <w:rFonts w:hint="eastAsia" w:ascii="仿宋_GB2312" w:hAnsi="仿宋_GB2312" w:eastAsia="仿宋_GB2312"/>
          <w:color w:val="000000"/>
          <w:sz w:val="32"/>
          <w:lang w:val="zh-CN"/>
        </w:rPr>
        <w:t>万元，占本年支出合计的</w:t>
      </w:r>
      <w:r>
        <w:rPr>
          <w:rFonts w:hint="eastAsia" w:ascii="仿宋_GB2312" w:hAnsi="仿宋_GB2312" w:eastAsia="仿宋_GB2312"/>
          <w:color w:val="000000"/>
          <w:sz w:val="32"/>
        </w:rPr>
        <w:t>78.5</w:t>
      </w:r>
      <w:r>
        <w:rPr>
          <w:rFonts w:hint="eastAsia" w:ascii="仿宋_GB2312" w:hAnsi="仿宋_GB2312" w:eastAsia="仿宋_GB2312"/>
          <w:color w:val="000000"/>
          <w:sz w:val="32"/>
          <w:lang w:val="zh-CN"/>
        </w:rPr>
        <w:t>%。与202</w:t>
      </w:r>
      <w:r>
        <w:rPr>
          <w:rFonts w:hint="eastAsia" w:ascii="仿宋_GB2312" w:hAnsi="仿宋_GB2312" w:eastAsia="仿宋_GB2312"/>
          <w:color w:val="000000"/>
          <w:sz w:val="32"/>
        </w:rPr>
        <w:t>2</w:t>
      </w:r>
      <w:r>
        <w:rPr>
          <w:rFonts w:hint="eastAsia" w:ascii="仿宋_GB2312" w:hAnsi="仿宋_GB2312" w:eastAsia="仿宋_GB2312"/>
          <w:color w:val="000000"/>
          <w:sz w:val="32"/>
          <w:lang w:val="zh-CN"/>
        </w:rPr>
        <w:t>年相比，一般公共预算财政拨款支出增加</w:t>
      </w:r>
      <w:r>
        <w:rPr>
          <w:rFonts w:hint="eastAsia" w:ascii="仿宋_GB2312" w:hAnsi="仿宋_GB2312" w:eastAsia="仿宋_GB2312"/>
          <w:color w:val="000000"/>
          <w:sz w:val="32"/>
        </w:rPr>
        <w:t>264.53</w:t>
      </w:r>
      <w:r>
        <w:rPr>
          <w:rFonts w:hint="eastAsia" w:ascii="仿宋_GB2312" w:hAnsi="仿宋_GB2312" w:eastAsia="仿宋_GB2312"/>
          <w:color w:val="000000"/>
          <w:sz w:val="32"/>
          <w:lang w:val="zh-CN"/>
        </w:rPr>
        <w:t>万元，增长</w:t>
      </w:r>
      <w:r>
        <w:rPr>
          <w:rFonts w:hint="eastAsia" w:ascii="仿宋_GB2312" w:hAnsi="仿宋_GB2312" w:eastAsia="仿宋_GB2312"/>
          <w:color w:val="000000"/>
          <w:sz w:val="32"/>
        </w:rPr>
        <w:t>10.7</w:t>
      </w:r>
      <w:r>
        <w:rPr>
          <w:rFonts w:hint="eastAsia" w:ascii="仿宋_GB2312" w:hAnsi="仿宋_GB2312" w:eastAsia="仿宋_GB2312"/>
          <w:color w:val="000000"/>
          <w:sz w:val="32"/>
          <w:lang w:val="zh-CN"/>
        </w:rPr>
        <w:t>%。</w:t>
      </w:r>
      <w:r>
        <w:rPr>
          <w:rFonts w:hint="eastAsia" w:ascii="仿宋_GB2312" w:hAnsi="仿宋_GB2312" w:eastAsia="仿宋_GB2312"/>
          <w:color w:val="000000"/>
          <w:sz w:val="32"/>
          <w:highlight w:val="none"/>
          <w:lang w:val="zh-CN"/>
        </w:rPr>
        <w:t>主要变动原因是</w:t>
      </w:r>
      <w:r>
        <w:rPr>
          <w:rFonts w:hint="eastAsia" w:ascii="仿宋_GB2312" w:hAnsi="宋体" w:eastAsia="仿宋_GB2312" w:cs="宋体"/>
          <w:color w:val="000000"/>
          <w:kern w:val="0"/>
          <w:sz w:val="32"/>
          <w:szCs w:val="32"/>
          <w:highlight w:val="none"/>
          <w:shd w:val="clear" w:color="auto" w:fill="FFFFFF"/>
        </w:rPr>
        <w:t>人员增加和项目增加</w:t>
      </w:r>
      <w:r>
        <w:rPr>
          <w:rFonts w:hint="eastAsia" w:ascii="仿宋" w:hAnsi="仿宋" w:eastAsia="仿宋"/>
          <w:sz w:val="32"/>
          <w:szCs w:val="32"/>
          <w:highlight w:val="none"/>
        </w:rPr>
        <w:t>。</w:t>
      </w:r>
    </w:p>
    <w:p>
      <w:pPr>
        <w:ind w:firstLine="420" w:firstLineChars="200"/>
        <w:jc w:val="center"/>
        <w:rPr>
          <w:rFonts w:ascii="仿宋" w:hAnsi="仿宋" w:eastAsia="仿宋"/>
          <w:sz w:val="32"/>
          <w:szCs w:val="32"/>
        </w:rPr>
      </w:pPr>
      <w:r>
        <w:drawing>
          <wp:inline distT="0" distB="0" distL="114300" distR="114300">
            <wp:extent cx="4572000" cy="2743200"/>
            <wp:effectExtent l="4445" t="4445" r="14605" b="14605"/>
            <wp:docPr id="1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ind w:firstLine="640" w:firstLineChars="200"/>
        <w:rPr>
          <w:rFonts w:ascii="仿宋" w:hAnsi="仿宋" w:eastAsia="仿宋"/>
          <w:sz w:val="32"/>
          <w:szCs w:val="32"/>
        </w:rPr>
      </w:pPr>
      <w:r>
        <w:rPr>
          <w:rFonts w:hint="eastAsia" w:ascii="仿宋" w:hAnsi="仿宋" w:eastAsia="仿宋"/>
          <w:sz w:val="32"/>
          <w:szCs w:val="32"/>
        </w:rPr>
        <w:t>（图5：一般公共预算财政拨款支出决算变动情况）（单位：万元）</w:t>
      </w:r>
    </w:p>
    <w:p>
      <w:pPr>
        <w:numPr>
          <w:ilvl w:val="0"/>
          <w:numId w:val="2"/>
        </w:numPr>
        <w:spacing w:line="600" w:lineRule="exact"/>
        <w:ind w:firstLine="640" w:firstLineChars="200"/>
        <w:outlineLvl w:val="2"/>
        <w:rPr>
          <w:rFonts w:ascii="仿宋" w:hAnsi="仿宋" w:eastAsia="仿宋"/>
          <w:b/>
          <w:sz w:val="32"/>
          <w:szCs w:val="32"/>
        </w:rPr>
      </w:pPr>
      <w:bookmarkStart w:id="23" w:name="_Toc15377211"/>
      <w:r>
        <w:rPr>
          <w:rFonts w:hint="eastAsia" w:ascii="仿宋" w:hAnsi="仿宋" w:eastAsia="仿宋"/>
          <w:b/>
          <w:sz w:val="32"/>
          <w:szCs w:val="32"/>
        </w:rPr>
        <w:t>一般公共预算财政拨款支出决算结构情况</w:t>
      </w:r>
      <w:bookmarkEnd w:id="23"/>
    </w:p>
    <w:p>
      <w:pPr>
        <w:spacing w:line="600" w:lineRule="exact"/>
        <w:ind w:firstLine="640" w:firstLineChars="200"/>
        <w:outlineLvl w:val="2"/>
        <w:rPr>
          <w:rFonts w:ascii="仿宋_GB2312" w:hAnsi="仿宋_GB2312" w:eastAsia="仿宋_GB2312"/>
          <w:color w:val="000000"/>
          <w:sz w:val="32"/>
          <w:lang w:val="zh-CN"/>
        </w:rPr>
      </w:pPr>
      <w:r>
        <w:rPr>
          <w:rFonts w:hint="eastAsia" w:ascii="仿宋_GB2312" w:hAnsi="仿宋_GB2312" w:eastAsia="仿宋_GB2312"/>
          <w:color w:val="000000"/>
          <w:sz w:val="32"/>
          <w:lang w:val="zh-CN"/>
        </w:rPr>
        <w:t>202</w:t>
      </w:r>
      <w:r>
        <w:rPr>
          <w:rFonts w:hint="eastAsia" w:ascii="仿宋_GB2312" w:hAnsi="仿宋_GB2312" w:eastAsia="仿宋_GB2312"/>
          <w:color w:val="000000"/>
          <w:sz w:val="32"/>
        </w:rPr>
        <w:t>3</w:t>
      </w:r>
      <w:r>
        <w:rPr>
          <w:rFonts w:hint="eastAsia" w:ascii="仿宋_GB2312" w:hAnsi="仿宋_GB2312" w:eastAsia="仿宋_GB2312"/>
          <w:color w:val="000000"/>
          <w:sz w:val="32"/>
          <w:lang w:val="zh-CN"/>
        </w:rPr>
        <w:t>年一般公共预算财政拨款支出</w:t>
      </w:r>
      <w:r>
        <w:rPr>
          <w:rFonts w:hint="eastAsia" w:ascii="仿宋_GB2312" w:hAnsi="仿宋_GB2312" w:eastAsia="仿宋_GB2312"/>
          <w:color w:val="000000"/>
          <w:sz w:val="32"/>
        </w:rPr>
        <w:t>2720.4</w:t>
      </w:r>
      <w:r>
        <w:rPr>
          <w:rFonts w:hint="eastAsia" w:ascii="仿宋_GB2312" w:hAnsi="仿宋_GB2312" w:eastAsia="仿宋_GB2312"/>
          <w:color w:val="000000"/>
          <w:sz w:val="32"/>
          <w:lang w:val="zh-CN"/>
        </w:rPr>
        <w:t>万元，主要用于以下方面： 公共安全支出</w:t>
      </w:r>
      <w:r>
        <w:rPr>
          <w:rFonts w:hint="eastAsia" w:ascii="仿宋_GB2312" w:hAnsi="仿宋_GB2312" w:eastAsia="仿宋_GB2312"/>
          <w:color w:val="000000"/>
          <w:sz w:val="32"/>
        </w:rPr>
        <w:t>2409.93</w:t>
      </w:r>
      <w:r>
        <w:rPr>
          <w:rFonts w:hint="eastAsia" w:ascii="仿宋_GB2312" w:hAnsi="仿宋_GB2312" w:eastAsia="仿宋_GB2312"/>
          <w:color w:val="000000"/>
          <w:sz w:val="32"/>
          <w:lang w:val="zh-CN"/>
        </w:rPr>
        <w:t>万元，占</w:t>
      </w:r>
      <w:r>
        <w:rPr>
          <w:rFonts w:hint="eastAsia" w:ascii="仿宋_GB2312" w:hAnsi="仿宋_GB2312" w:eastAsia="仿宋_GB2312"/>
          <w:color w:val="000000"/>
          <w:sz w:val="32"/>
        </w:rPr>
        <w:t>88.6</w:t>
      </w:r>
      <w:r>
        <w:rPr>
          <w:rFonts w:hint="eastAsia" w:ascii="仿宋_GB2312" w:hAnsi="仿宋_GB2312" w:eastAsia="仿宋_GB2312"/>
          <w:color w:val="000000"/>
          <w:sz w:val="32"/>
          <w:lang w:val="zh-CN"/>
        </w:rPr>
        <w:t>%；社会保障和就业支出</w:t>
      </w:r>
      <w:r>
        <w:rPr>
          <w:rFonts w:hint="eastAsia" w:ascii="仿宋_GB2312" w:hAnsi="仿宋_GB2312" w:eastAsia="仿宋_GB2312"/>
          <w:color w:val="000000"/>
          <w:sz w:val="32"/>
        </w:rPr>
        <w:t>119.09</w:t>
      </w:r>
      <w:r>
        <w:rPr>
          <w:rFonts w:hint="eastAsia" w:ascii="仿宋_GB2312" w:hAnsi="仿宋_GB2312" w:eastAsia="仿宋_GB2312"/>
          <w:color w:val="000000"/>
          <w:sz w:val="32"/>
          <w:lang w:val="zh-CN"/>
        </w:rPr>
        <w:t>万元，占</w:t>
      </w:r>
      <w:r>
        <w:rPr>
          <w:rFonts w:hint="eastAsia" w:ascii="仿宋_GB2312" w:hAnsi="仿宋_GB2312" w:eastAsia="仿宋_GB2312"/>
          <w:color w:val="000000"/>
          <w:sz w:val="32"/>
        </w:rPr>
        <w:t>4.4</w:t>
      </w:r>
      <w:r>
        <w:rPr>
          <w:rFonts w:hint="eastAsia" w:ascii="仿宋_GB2312" w:hAnsi="仿宋_GB2312" w:eastAsia="仿宋_GB2312"/>
          <w:color w:val="000000"/>
          <w:sz w:val="32"/>
          <w:lang w:val="zh-CN"/>
        </w:rPr>
        <w:t>%；卫生健康支出</w:t>
      </w:r>
      <w:r>
        <w:rPr>
          <w:rFonts w:hint="eastAsia" w:ascii="仿宋_GB2312" w:hAnsi="仿宋_GB2312" w:eastAsia="仿宋_GB2312"/>
          <w:color w:val="000000"/>
          <w:sz w:val="32"/>
        </w:rPr>
        <w:t>60.19</w:t>
      </w:r>
      <w:r>
        <w:rPr>
          <w:rFonts w:hint="eastAsia" w:ascii="仿宋_GB2312" w:hAnsi="仿宋_GB2312" w:eastAsia="仿宋_GB2312"/>
          <w:color w:val="000000"/>
          <w:sz w:val="32"/>
          <w:lang w:val="zh-CN"/>
        </w:rPr>
        <w:t>万元，占</w:t>
      </w:r>
      <w:r>
        <w:rPr>
          <w:rFonts w:hint="eastAsia" w:ascii="仿宋_GB2312" w:hAnsi="仿宋_GB2312" w:eastAsia="仿宋_GB2312"/>
          <w:color w:val="000000"/>
          <w:sz w:val="32"/>
        </w:rPr>
        <w:t>2.2</w:t>
      </w:r>
      <w:r>
        <w:rPr>
          <w:rFonts w:hint="eastAsia" w:ascii="仿宋_GB2312" w:hAnsi="仿宋_GB2312" w:eastAsia="仿宋_GB2312"/>
          <w:color w:val="000000"/>
          <w:sz w:val="32"/>
          <w:lang w:val="zh-CN"/>
        </w:rPr>
        <w:t>%；住房保障支出</w:t>
      </w:r>
      <w:r>
        <w:rPr>
          <w:rFonts w:hint="eastAsia" w:ascii="仿宋_GB2312" w:hAnsi="仿宋_GB2312" w:eastAsia="仿宋_GB2312"/>
          <w:color w:val="000000"/>
          <w:sz w:val="32"/>
        </w:rPr>
        <w:t>131.19</w:t>
      </w:r>
      <w:r>
        <w:rPr>
          <w:rFonts w:hint="eastAsia" w:ascii="仿宋_GB2312" w:hAnsi="仿宋_GB2312" w:eastAsia="仿宋_GB2312"/>
          <w:color w:val="000000"/>
          <w:sz w:val="32"/>
          <w:lang w:val="zh-CN"/>
        </w:rPr>
        <w:t>万元，占</w:t>
      </w:r>
      <w:r>
        <w:rPr>
          <w:rFonts w:hint="eastAsia" w:ascii="仿宋_GB2312" w:hAnsi="仿宋_GB2312" w:eastAsia="仿宋_GB2312"/>
          <w:color w:val="000000"/>
          <w:sz w:val="32"/>
        </w:rPr>
        <w:t>4.8</w:t>
      </w:r>
      <w:r>
        <w:rPr>
          <w:rFonts w:hint="eastAsia" w:ascii="仿宋_GB2312" w:hAnsi="仿宋_GB2312" w:eastAsia="仿宋_GB2312"/>
          <w:color w:val="000000"/>
          <w:sz w:val="32"/>
          <w:lang w:val="zh-CN"/>
        </w:rPr>
        <w:t>%。</w:t>
      </w:r>
    </w:p>
    <w:p>
      <w:pPr>
        <w:ind w:firstLine="640"/>
        <w:rPr>
          <w:rFonts w:ascii="仿宋" w:hAnsi="仿宋" w:eastAsia="仿宋"/>
          <w:sz w:val="32"/>
          <w:szCs w:val="32"/>
        </w:rPr>
      </w:pPr>
      <w:r>
        <w:drawing>
          <wp:inline distT="0" distB="0" distL="114300" distR="114300">
            <wp:extent cx="4572000" cy="2743200"/>
            <wp:effectExtent l="4445" t="4445" r="14605" b="14605"/>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rPr>
          <w:rFonts w:ascii="仿宋" w:hAnsi="仿宋" w:eastAsia="仿宋"/>
          <w:sz w:val="32"/>
          <w:szCs w:val="32"/>
        </w:rPr>
      </w:pPr>
      <w:r>
        <w:rPr>
          <w:rFonts w:hint="eastAsia" w:ascii="仿宋" w:hAnsi="仿宋" w:eastAsia="仿宋"/>
          <w:sz w:val="32"/>
          <w:szCs w:val="32"/>
        </w:rPr>
        <w:t>（图6：一般公共预算财政拨款支出决算结构）（饼状图）</w:t>
      </w:r>
    </w:p>
    <w:p>
      <w:pPr>
        <w:spacing w:line="600" w:lineRule="exact"/>
        <w:ind w:firstLine="640" w:firstLineChars="200"/>
        <w:outlineLvl w:val="2"/>
        <w:rPr>
          <w:rFonts w:ascii="仿宋_GB2312" w:hAnsi="仿宋_GB2312" w:eastAsia="仿宋_GB2312" w:cs="仿宋_GB2312"/>
          <w:b/>
          <w:sz w:val="32"/>
          <w:szCs w:val="32"/>
        </w:rPr>
      </w:pPr>
      <w:bookmarkStart w:id="24" w:name="_Toc15377212"/>
      <w:r>
        <w:rPr>
          <w:rFonts w:hint="eastAsia" w:ascii="仿宋_GB2312" w:hAnsi="仿宋_GB2312" w:eastAsia="仿宋_GB2312" w:cs="仿宋_GB2312"/>
          <w:b/>
          <w:sz w:val="32"/>
          <w:szCs w:val="32"/>
        </w:rPr>
        <w:t>（三）一般公共预算财政拨款支出决算具体情况</w:t>
      </w:r>
      <w:bookmarkEnd w:id="24"/>
    </w:p>
    <w:p>
      <w:pPr>
        <w:spacing w:line="576" w:lineRule="exact"/>
        <w:ind w:firstLine="641"/>
        <w:rPr>
          <w:rFonts w:ascii="仿宋_GB2312" w:hAnsi="仿宋_GB2312" w:eastAsia="仿宋_GB2312" w:cs="仿宋_GB2312"/>
          <w:b/>
          <w:color w:val="000000"/>
          <w:sz w:val="32"/>
          <w:lang w:val="zh-CN"/>
        </w:rPr>
      </w:pPr>
      <w:r>
        <w:rPr>
          <w:rFonts w:hint="eastAsia" w:ascii="仿宋_GB2312" w:hAnsi="仿宋_GB2312" w:eastAsia="仿宋_GB2312" w:cs="仿宋_GB2312"/>
          <w:b/>
          <w:color w:val="000000"/>
          <w:sz w:val="32"/>
          <w:lang w:val="zh-CN"/>
        </w:rPr>
        <w:t>2022年一般公共预算支出决算数为</w:t>
      </w:r>
      <w:r>
        <w:rPr>
          <w:rFonts w:hint="eastAsia" w:ascii="仿宋_GB2312" w:hAnsi="仿宋_GB2312" w:eastAsia="仿宋_GB2312" w:cs="仿宋_GB2312"/>
          <w:color w:val="000000"/>
          <w:sz w:val="32"/>
        </w:rPr>
        <w:t>2720.4</w:t>
      </w:r>
      <w:r>
        <w:rPr>
          <w:rFonts w:hint="eastAsia" w:ascii="仿宋_GB2312" w:hAnsi="仿宋_GB2312" w:eastAsia="仿宋_GB2312" w:cs="仿宋_GB2312"/>
          <w:b/>
          <w:color w:val="000000"/>
          <w:sz w:val="32"/>
          <w:lang w:val="zh-CN"/>
        </w:rPr>
        <w:t>万元</w:t>
      </w:r>
      <w:r>
        <w:rPr>
          <w:rFonts w:hint="eastAsia" w:ascii="仿宋_GB2312" w:hAnsi="仿宋_GB2312" w:eastAsia="仿宋_GB2312" w:cs="仿宋_GB2312"/>
          <w:color w:val="000000"/>
          <w:sz w:val="32"/>
          <w:lang w:val="zh-CN"/>
        </w:rPr>
        <w:t>，</w:t>
      </w:r>
      <w:r>
        <w:rPr>
          <w:rFonts w:hint="eastAsia" w:ascii="仿宋_GB2312" w:hAnsi="仿宋_GB2312" w:eastAsia="仿宋_GB2312" w:cs="仿宋_GB2312"/>
          <w:b/>
          <w:color w:val="000000"/>
          <w:sz w:val="32"/>
          <w:lang w:val="zh-CN"/>
        </w:rPr>
        <w:t>完成预算100%。其中：</w:t>
      </w:r>
    </w:p>
    <w:p>
      <w:pPr>
        <w:spacing w:line="576" w:lineRule="exact"/>
        <w:ind w:firstLine="640" w:firstLineChars="200"/>
        <w:rPr>
          <w:rFonts w:ascii="仿宋_GB2312" w:hAnsi="仿宋_GB2312" w:eastAsia="仿宋_GB2312" w:cs="仿宋_GB2312"/>
          <w:sz w:val="32"/>
        </w:rPr>
      </w:pPr>
      <w:r>
        <w:rPr>
          <w:rFonts w:hint="eastAsia" w:ascii="仿宋_GB2312" w:hAnsi="仿宋_GB2312" w:eastAsia="仿宋_GB2312" w:cs="仿宋_GB2312"/>
          <w:b/>
          <w:color w:val="000000"/>
          <w:sz w:val="32"/>
        </w:rPr>
        <w:t>1.公共安全支出（类）法院（款）行政运行（项）：</w:t>
      </w:r>
      <w:r>
        <w:rPr>
          <w:rFonts w:hint="eastAsia" w:ascii="仿宋_GB2312" w:hAnsi="仿宋_GB2312" w:eastAsia="仿宋_GB2312" w:cs="仿宋_GB2312"/>
          <w:sz w:val="32"/>
        </w:rPr>
        <w:t>支出决算为1870.29万元，完成预算100%。</w:t>
      </w:r>
    </w:p>
    <w:p>
      <w:pPr>
        <w:spacing w:line="576" w:lineRule="exact"/>
        <w:ind w:firstLine="640" w:firstLineChars="200"/>
        <w:rPr>
          <w:rFonts w:ascii="仿宋_GB2312" w:hAnsi="仿宋_GB2312" w:eastAsia="仿宋_GB2312" w:cs="仿宋_GB2312"/>
          <w:sz w:val="32"/>
        </w:rPr>
      </w:pPr>
      <w:r>
        <w:rPr>
          <w:rFonts w:hint="eastAsia" w:ascii="仿宋_GB2312" w:hAnsi="仿宋_GB2312" w:eastAsia="仿宋_GB2312" w:cs="仿宋_GB2312"/>
          <w:b/>
          <w:color w:val="000000"/>
          <w:sz w:val="32"/>
        </w:rPr>
        <w:t>2.公共安全支出（类）法院（款）案件审判（项）：</w:t>
      </w:r>
      <w:r>
        <w:rPr>
          <w:rFonts w:hint="eastAsia" w:ascii="仿宋_GB2312" w:hAnsi="仿宋_GB2312" w:eastAsia="仿宋_GB2312" w:cs="仿宋_GB2312"/>
          <w:sz w:val="32"/>
        </w:rPr>
        <w:t>支出决算为20万元，完成预算100%。</w:t>
      </w:r>
    </w:p>
    <w:p>
      <w:pPr>
        <w:spacing w:line="576" w:lineRule="exact"/>
        <w:ind w:firstLine="640" w:firstLineChars="200"/>
        <w:rPr>
          <w:rFonts w:ascii="仿宋_GB2312" w:hAnsi="仿宋_GB2312" w:eastAsia="仿宋_GB2312" w:cs="仿宋_GB2312"/>
          <w:sz w:val="32"/>
        </w:rPr>
      </w:pPr>
      <w:r>
        <w:rPr>
          <w:rFonts w:hint="eastAsia" w:ascii="仿宋_GB2312" w:hAnsi="仿宋_GB2312" w:eastAsia="仿宋_GB2312" w:cs="仿宋_GB2312"/>
          <w:b/>
          <w:color w:val="000000"/>
          <w:sz w:val="32"/>
        </w:rPr>
        <w:t>3.公共安全支出（类）法院（款）案件执行（项）：</w:t>
      </w:r>
      <w:r>
        <w:rPr>
          <w:rFonts w:hint="eastAsia" w:ascii="仿宋_GB2312" w:hAnsi="仿宋_GB2312" w:eastAsia="仿宋_GB2312" w:cs="仿宋_GB2312"/>
          <w:sz w:val="32"/>
        </w:rPr>
        <w:t>支出决算为19.56万元，完成预算100%。</w:t>
      </w:r>
    </w:p>
    <w:p>
      <w:pPr>
        <w:spacing w:line="576" w:lineRule="exact"/>
        <w:ind w:firstLine="640" w:firstLineChars="200"/>
        <w:rPr>
          <w:rFonts w:ascii="仿宋_GB2312" w:hAnsi="仿宋_GB2312" w:eastAsia="仿宋_GB2312" w:cs="仿宋_GB2312"/>
          <w:sz w:val="32"/>
        </w:rPr>
      </w:pPr>
      <w:r>
        <w:rPr>
          <w:rFonts w:hint="eastAsia" w:ascii="仿宋_GB2312" w:hAnsi="仿宋_GB2312" w:eastAsia="仿宋_GB2312" w:cs="仿宋_GB2312"/>
          <w:b/>
          <w:color w:val="000000"/>
          <w:sz w:val="32"/>
        </w:rPr>
        <w:t>4.公共安全支出（类）法院（款）其他法院支出（项）：</w:t>
      </w:r>
      <w:r>
        <w:rPr>
          <w:rFonts w:hint="eastAsia" w:ascii="仿宋_GB2312" w:hAnsi="仿宋_GB2312" w:eastAsia="仿宋_GB2312" w:cs="仿宋_GB2312"/>
          <w:sz w:val="32"/>
        </w:rPr>
        <w:t>支出决算为500.08万元，完成预算100%。</w:t>
      </w:r>
    </w:p>
    <w:p>
      <w:pPr>
        <w:spacing w:line="600" w:lineRule="exact"/>
        <w:ind w:firstLine="640" w:firstLineChars="200"/>
        <w:rPr>
          <w:rFonts w:ascii="仿宋_GB2312" w:hAnsi="仿宋_GB2312" w:eastAsia="仿宋_GB2312" w:cs="仿宋_GB2312"/>
          <w:b/>
          <w:color w:val="FF0000"/>
          <w:sz w:val="32"/>
          <w:szCs w:val="32"/>
        </w:rPr>
      </w:pPr>
      <w:r>
        <w:rPr>
          <w:rStyle w:val="18"/>
          <w:rFonts w:hint="eastAsia" w:ascii="仿宋_GB2312" w:hAnsi="仿宋_GB2312" w:eastAsia="仿宋_GB2312" w:cs="仿宋_GB2312"/>
          <w:bCs/>
          <w:sz w:val="32"/>
          <w:szCs w:val="32"/>
        </w:rPr>
        <w:t>5.社会保障和就业（类）法院（款）社会保障就业（项）：</w:t>
      </w:r>
      <w:r>
        <w:rPr>
          <w:rStyle w:val="18"/>
          <w:rFonts w:hint="eastAsia" w:ascii="仿宋_GB2312" w:hAnsi="仿宋_GB2312" w:eastAsia="仿宋_GB2312" w:cs="仿宋_GB2312"/>
          <w:b w:val="0"/>
          <w:bCs/>
          <w:sz w:val="32"/>
          <w:szCs w:val="32"/>
        </w:rPr>
        <w:t>支出决算为119.09万元，完成预算100%。</w:t>
      </w:r>
    </w:p>
    <w:p>
      <w:pPr>
        <w:spacing w:line="600" w:lineRule="exact"/>
        <w:ind w:firstLine="640" w:firstLineChars="200"/>
        <w:rPr>
          <w:rStyle w:val="18"/>
          <w:rFonts w:ascii="仿宋_GB2312" w:hAnsi="仿宋_GB2312" w:eastAsia="仿宋_GB2312" w:cs="仿宋_GB2312"/>
          <w:b w:val="0"/>
          <w:bCs/>
          <w:sz w:val="32"/>
          <w:szCs w:val="32"/>
        </w:rPr>
      </w:pPr>
      <w:r>
        <w:rPr>
          <w:rStyle w:val="18"/>
          <w:rFonts w:hint="eastAsia" w:ascii="仿宋_GB2312" w:hAnsi="仿宋_GB2312" w:eastAsia="仿宋_GB2312" w:cs="仿宋_GB2312"/>
          <w:bCs/>
          <w:sz w:val="32"/>
          <w:szCs w:val="32"/>
        </w:rPr>
        <w:t>6.</w:t>
      </w:r>
      <w:r>
        <w:rPr>
          <w:rFonts w:hint="eastAsia" w:ascii="仿宋_GB2312" w:hAnsi="仿宋_GB2312" w:eastAsia="仿宋_GB2312" w:cs="仿宋_GB2312"/>
          <w:b/>
          <w:bCs/>
          <w:sz w:val="32"/>
          <w:szCs w:val="32"/>
        </w:rPr>
        <w:t>卫生健康</w:t>
      </w:r>
      <w:r>
        <w:rPr>
          <w:rStyle w:val="18"/>
          <w:rFonts w:hint="eastAsia" w:ascii="仿宋_GB2312" w:hAnsi="仿宋_GB2312" w:eastAsia="仿宋_GB2312" w:cs="仿宋_GB2312"/>
          <w:bCs/>
          <w:sz w:val="32"/>
          <w:szCs w:val="32"/>
        </w:rPr>
        <w:t>（类）法院（款）卫生健康（项）：</w:t>
      </w:r>
      <w:r>
        <w:rPr>
          <w:rStyle w:val="18"/>
          <w:rFonts w:hint="eastAsia" w:ascii="仿宋_GB2312" w:hAnsi="仿宋_GB2312" w:eastAsia="仿宋_GB2312" w:cs="仿宋_GB2312"/>
          <w:b w:val="0"/>
          <w:bCs/>
          <w:sz w:val="32"/>
          <w:szCs w:val="32"/>
        </w:rPr>
        <w:t>支出决算为60.19万元，完成预算100%。</w:t>
      </w:r>
    </w:p>
    <w:p>
      <w:pPr>
        <w:spacing w:line="600" w:lineRule="exact"/>
        <w:ind w:firstLine="640" w:firstLineChars="200"/>
        <w:rPr>
          <w:rFonts w:ascii="仿宋_GB2312" w:hAnsi="仿宋_GB2312" w:eastAsia="仿宋_GB2312" w:cs="仿宋_GB2312"/>
          <w:b/>
          <w:sz w:val="32"/>
          <w:szCs w:val="32"/>
        </w:rPr>
      </w:pPr>
      <w:r>
        <w:rPr>
          <w:rFonts w:hint="eastAsia" w:ascii="仿宋_GB2312" w:hAnsi="仿宋_GB2312" w:eastAsia="仿宋_GB2312" w:cs="仿宋_GB2312"/>
          <w:b/>
          <w:bCs/>
          <w:color w:val="000000"/>
          <w:sz w:val="32"/>
          <w:szCs w:val="32"/>
        </w:rPr>
        <w:t>7.住房保障</w:t>
      </w:r>
      <w:r>
        <w:rPr>
          <w:rStyle w:val="18"/>
          <w:rFonts w:hint="eastAsia" w:ascii="仿宋_GB2312" w:hAnsi="仿宋_GB2312" w:eastAsia="仿宋_GB2312" w:cs="仿宋_GB2312"/>
          <w:bCs/>
          <w:color w:val="000000"/>
          <w:sz w:val="32"/>
          <w:szCs w:val="32"/>
        </w:rPr>
        <w:t>（类）法院（款）住房保障（项）：</w:t>
      </w:r>
      <w:r>
        <w:rPr>
          <w:rStyle w:val="18"/>
          <w:rFonts w:hint="eastAsia" w:ascii="仿宋_GB2312" w:hAnsi="仿宋_GB2312" w:eastAsia="仿宋_GB2312" w:cs="仿宋_GB2312"/>
          <w:b w:val="0"/>
          <w:bCs/>
          <w:color w:val="000000"/>
          <w:sz w:val="32"/>
          <w:szCs w:val="32"/>
        </w:rPr>
        <w:t>支出决算为131.19万元，完成预算100%。</w:t>
      </w:r>
    </w:p>
    <w:p>
      <w:pPr>
        <w:tabs>
          <w:tab w:val="right" w:pos="8306"/>
        </w:tabs>
        <w:spacing w:line="600" w:lineRule="exact"/>
        <w:ind w:firstLine="640"/>
        <w:outlineLvl w:val="1"/>
        <w:rPr>
          <w:rStyle w:val="21"/>
          <w:rFonts w:ascii="仿宋_GB2312" w:hAnsi="仿宋_GB2312" w:eastAsia="仿宋_GB2312" w:cs="仿宋_GB2312"/>
        </w:rPr>
      </w:pPr>
      <w:bookmarkStart w:id="25" w:name="_Toc15377214"/>
      <w:bookmarkStart w:id="26" w:name="_Toc15396608"/>
      <w:r>
        <w:rPr>
          <w:rFonts w:hint="eastAsia" w:ascii="黑体" w:hAnsi="黑体" w:eastAsia="黑体" w:cs="黑体"/>
          <w:sz w:val="32"/>
          <w:szCs w:val="32"/>
        </w:rPr>
        <w:t>六</w:t>
      </w:r>
      <w:r>
        <w:rPr>
          <w:rFonts w:hint="eastAsia" w:ascii="黑体" w:hAnsi="黑体" w:eastAsia="黑体" w:cs="黑体"/>
          <w:b/>
          <w:sz w:val="32"/>
          <w:szCs w:val="32"/>
        </w:rPr>
        <w:t>、一</w:t>
      </w:r>
      <w:r>
        <w:rPr>
          <w:rStyle w:val="21"/>
          <w:rFonts w:hint="eastAsia" w:ascii="黑体" w:hAnsi="黑体" w:eastAsia="黑体" w:cs="黑体"/>
          <w:b w:val="0"/>
        </w:rPr>
        <w:t>般公共预算财政拨款基本支出决算情况说明</w:t>
      </w:r>
      <w:bookmarkEnd w:id="25"/>
      <w:bookmarkEnd w:id="26"/>
      <w:r>
        <w:rPr>
          <w:rStyle w:val="21"/>
          <w:rFonts w:hint="eastAsia" w:ascii="仿宋_GB2312" w:hAnsi="仿宋_GB2312" w:eastAsia="仿宋_GB2312" w:cs="仿宋_GB2312"/>
          <w:b w:val="0"/>
        </w:rPr>
        <w:tab/>
      </w:r>
    </w:p>
    <w:p>
      <w:pPr>
        <w:spacing w:line="576" w:lineRule="exact"/>
        <w:ind w:firstLine="640"/>
        <w:rPr>
          <w:rFonts w:ascii="仿宋_GB2312" w:hAnsi="仿宋_GB2312" w:eastAsia="仿宋_GB2312" w:cs="仿宋_GB2312"/>
          <w:color w:val="000000"/>
          <w:sz w:val="32"/>
          <w:lang w:val="zh-CN"/>
        </w:rPr>
      </w:pPr>
      <w:r>
        <w:rPr>
          <w:rFonts w:hint="eastAsia" w:ascii="仿宋_GB2312" w:hAnsi="仿宋_GB2312" w:eastAsia="仿宋_GB2312" w:cs="仿宋_GB2312"/>
          <w:color w:val="000000"/>
          <w:sz w:val="32"/>
          <w:lang w:val="zh-CN"/>
        </w:rPr>
        <w:t>202</w:t>
      </w:r>
      <w:r>
        <w:rPr>
          <w:rFonts w:hint="eastAsia" w:ascii="仿宋_GB2312" w:hAnsi="仿宋_GB2312" w:eastAsia="仿宋_GB2312" w:cs="仿宋_GB2312"/>
          <w:color w:val="000000"/>
          <w:sz w:val="32"/>
        </w:rPr>
        <w:t>3</w:t>
      </w:r>
      <w:r>
        <w:rPr>
          <w:rFonts w:hint="eastAsia" w:ascii="仿宋_GB2312" w:hAnsi="仿宋_GB2312" w:eastAsia="仿宋_GB2312" w:cs="仿宋_GB2312"/>
          <w:color w:val="000000"/>
          <w:sz w:val="32"/>
          <w:lang w:val="zh-CN"/>
        </w:rPr>
        <w:t>年一般公共预算财政拨款基本支出</w:t>
      </w:r>
      <w:r>
        <w:rPr>
          <w:rFonts w:hint="eastAsia" w:ascii="仿宋_GB2312" w:hAnsi="仿宋_GB2312" w:eastAsia="仿宋_GB2312" w:cs="仿宋_GB2312"/>
          <w:color w:val="000000"/>
          <w:sz w:val="32"/>
        </w:rPr>
        <w:t>2180.76</w:t>
      </w:r>
      <w:r>
        <w:rPr>
          <w:rFonts w:hint="eastAsia" w:ascii="仿宋_GB2312" w:hAnsi="仿宋_GB2312" w:eastAsia="仿宋_GB2312" w:cs="仿宋_GB2312"/>
          <w:color w:val="000000"/>
          <w:sz w:val="32"/>
          <w:lang w:val="zh-CN"/>
        </w:rPr>
        <w:t>万元，其中：</w:t>
      </w:r>
    </w:p>
    <w:p>
      <w:pPr>
        <w:spacing w:line="576" w:lineRule="exact"/>
        <w:ind w:firstLine="643"/>
        <w:rPr>
          <w:rFonts w:ascii="仿宋_GB2312" w:hAnsi="仿宋_GB2312" w:eastAsia="仿宋_GB2312" w:cs="仿宋_GB2312"/>
          <w:color w:val="000000"/>
          <w:sz w:val="32"/>
          <w:lang w:val="zh-CN"/>
        </w:rPr>
      </w:pPr>
      <w:r>
        <w:rPr>
          <w:rFonts w:hint="eastAsia" w:ascii="仿宋_GB2312" w:hAnsi="仿宋_GB2312" w:eastAsia="仿宋_GB2312" w:cs="仿宋_GB2312"/>
          <w:b/>
          <w:color w:val="000000"/>
          <w:sz w:val="32"/>
          <w:lang w:val="zh-CN"/>
        </w:rPr>
        <w:t>人员经费</w:t>
      </w:r>
      <w:r>
        <w:rPr>
          <w:rFonts w:hint="eastAsia" w:ascii="仿宋_GB2312" w:hAnsi="仿宋_GB2312" w:eastAsia="仿宋_GB2312" w:cs="仿宋_GB2312"/>
          <w:color w:val="000000"/>
          <w:sz w:val="32"/>
        </w:rPr>
        <w:t>1740.87</w:t>
      </w:r>
      <w:r>
        <w:rPr>
          <w:rFonts w:hint="eastAsia" w:ascii="仿宋_GB2312" w:hAnsi="仿宋_GB2312" w:eastAsia="仿宋_GB2312" w:cs="仿宋_GB2312"/>
          <w:color w:val="000000"/>
          <w:sz w:val="32"/>
          <w:lang w:val="zh-CN"/>
        </w:rPr>
        <w:t>万元，主要包括：</w:t>
      </w:r>
      <w:r>
        <w:rPr>
          <w:rFonts w:hint="eastAsia" w:ascii="仿宋_GB2312" w:hAnsi="仿宋_GB2312" w:eastAsia="仿宋_GB2312" w:cs="仿宋_GB2312"/>
          <w:sz w:val="32"/>
        </w:rPr>
        <w:t>基本工资、津贴补贴、奖金、机关事业单位基本养老保险缴费、职工基本医疗保险缴费、其他社会保障缴费、住房公积金、其他工资福利支出、生活补助、奖励金</w:t>
      </w:r>
      <w:r>
        <w:rPr>
          <w:rFonts w:hint="eastAsia" w:ascii="仿宋_GB2312" w:hAnsi="仿宋_GB2312" w:eastAsia="仿宋_GB2312" w:cs="仿宋_GB2312"/>
          <w:color w:val="000000"/>
          <w:sz w:val="32"/>
          <w:lang w:val="zh-CN"/>
        </w:rPr>
        <w:t>。</w:t>
      </w:r>
    </w:p>
    <w:p>
      <w:pPr>
        <w:spacing w:line="576" w:lineRule="exact"/>
        <w:ind w:firstLine="643"/>
        <w:rPr>
          <w:rFonts w:ascii="仿宋_GB2312" w:hAnsi="仿宋_GB2312" w:eastAsia="仿宋_GB2312" w:cs="仿宋_GB2312"/>
          <w:color w:val="000000"/>
          <w:sz w:val="32"/>
          <w:lang w:val="zh-CN"/>
        </w:rPr>
      </w:pPr>
      <w:r>
        <w:rPr>
          <w:rFonts w:hint="eastAsia" w:ascii="仿宋_GB2312" w:hAnsi="仿宋_GB2312" w:eastAsia="仿宋_GB2312" w:cs="仿宋_GB2312"/>
          <w:b/>
          <w:color w:val="000000"/>
          <w:sz w:val="32"/>
          <w:lang w:val="zh-CN"/>
        </w:rPr>
        <w:t>公用经费</w:t>
      </w:r>
      <w:r>
        <w:rPr>
          <w:rFonts w:hint="eastAsia" w:ascii="仿宋_GB2312" w:hAnsi="仿宋_GB2312" w:eastAsia="仿宋_GB2312" w:cs="仿宋_GB2312"/>
          <w:color w:val="000000"/>
          <w:sz w:val="32"/>
        </w:rPr>
        <w:t>439.89</w:t>
      </w:r>
      <w:r>
        <w:rPr>
          <w:rFonts w:hint="eastAsia" w:ascii="仿宋_GB2312" w:hAnsi="仿宋_GB2312" w:eastAsia="仿宋_GB2312" w:cs="仿宋_GB2312"/>
          <w:color w:val="000000"/>
          <w:sz w:val="32"/>
          <w:lang w:val="zh-CN"/>
        </w:rPr>
        <w:t>万元，主要包括：</w:t>
      </w:r>
      <w:r>
        <w:rPr>
          <w:rFonts w:hint="eastAsia" w:ascii="仿宋_GB2312" w:hAnsi="仿宋_GB2312" w:eastAsia="仿宋_GB2312" w:cs="仿宋_GB2312"/>
          <w:sz w:val="32"/>
        </w:rPr>
        <w:t>办公费、印刷费、水费、电费、邮电费、物业管理费、差旅费、维修（护）费、租赁费、培训费、公务接待费、被装购置费、劳务费、工会经费、福利费、公务用车运行维护费、其他交通费用、其他商品和服务支出、办公设备购置</w:t>
      </w:r>
      <w:r>
        <w:rPr>
          <w:rFonts w:hint="eastAsia" w:ascii="仿宋_GB2312" w:hAnsi="仿宋_GB2312" w:eastAsia="仿宋_GB2312" w:cs="仿宋_GB2312"/>
          <w:color w:val="000000"/>
          <w:sz w:val="32"/>
          <w:lang w:val="zh-CN"/>
        </w:rPr>
        <w:t>。</w:t>
      </w:r>
    </w:p>
    <w:p>
      <w:pPr>
        <w:spacing w:line="600" w:lineRule="exact"/>
        <w:ind w:firstLine="640" w:firstLineChars="200"/>
        <w:outlineLvl w:val="1"/>
        <w:rPr>
          <w:rStyle w:val="21"/>
          <w:rFonts w:ascii="黑体" w:hAnsi="黑体" w:eastAsia="黑体"/>
          <w:b w:val="0"/>
        </w:rPr>
      </w:pPr>
      <w:bookmarkStart w:id="27" w:name="_Toc15377215"/>
      <w:bookmarkStart w:id="28" w:name="_Toc15396609"/>
      <w:r>
        <w:rPr>
          <w:rFonts w:hint="eastAsia" w:ascii="黑体" w:eastAsia="黑体"/>
          <w:sz w:val="32"/>
          <w:szCs w:val="32"/>
        </w:rPr>
        <w:t>七、</w:t>
      </w:r>
      <w:r>
        <w:rPr>
          <w:rStyle w:val="21"/>
          <w:rFonts w:hint="eastAsia" w:ascii="黑体" w:hAnsi="黑体" w:eastAsia="黑体"/>
          <w:b w:val="0"/>
        </w:rPr>
        <w:t>财政拨款</w:t>
      </w:r>
      <w:r>
        <w:rPr>
          <w:rStyle w:val="21"/>
          <w:rFonts w:hint="eastAsia" w:ascii="黑体" w:hAnsi="黑体" w:eastAsia="黑体"/>
        </w:rPr>
        <w:t>“</w:t>
      </w:r>
      <w:r>
        <w:rPr>
          <w:rStyle w:val="21"/>
          <w:rFonts w:hint="eastAsia" w:ascii="黑体" w:hAnsi="黑体" w:eastAsia="黑体"/>
          <w:b w:val="0"/>
        </w:rPr>
        <w:t>三公”经费支出决算情况说明</w:t>
      </w:r>
      <w:bookmarkEnd w:id="27"/>
      <w:bookmarkEnd w:id="28"/>
    </w:p>
    <w:p>
      <w:pPr>
        <w:spacing w:line="600" w:lineRule="exact"/>
        <w:ind w:firstLine="640"/>
        <w:outlineLvl w:val="2"/>
        <w:rPr>
          <w:rFonts w:ascii="仿宋" w:hAnsi="仿宋" w:eastAsia="仿宋"/>
          <w:b/>
          <w:sz w:val="32"/>
          <w:szCs w:val="32"/>
        </w:rPr>
      </w:pPr>
      <w:bookmarkStart w:id="29" w:name="_Toc15377216"/>
      <w:r>
        <w:rPr>
          <w:rFonts w:hint="eastAsia" w:ascii="仿宋" w:hAnsi="仿宋" w:eastAsia="仿宋"/>
          <w:b/>
          <w:sz w:val="32"/>
          <w:szCs w:val="32"/>
        </w:rPr>
        <w:t>（一）“三公”经费财政拨款支出决算总体情况说明</w:t>
      </w:r>
      <w:bookmarkEnd w:id="29"/>
    </w:p>
    <w:p>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olor w:val="000000"/>
          <w:sz w:val="32"/>
          <w:lang w:val="zh-CN"/>
        </w:rPr>
        <w:t>202</w:t>
      </w:r>
      <w:r>
        <w:rPr>
          <w:rFonts w:hint="eastAsia" w:ascii="仿宋_GB2312" w:hAnsi="仿宋_GB2312" w:eastAsia="仿宋_GB2312"/>
          <w:color w:val="000000"/>
          <w:sz w:val="32"/>
        </w:rPr>
        <w:t>3</w:t>
      </w:r>
      <w:r>
        <w:rPr>
          <w:rFonts w:hint="eastAsia" w:ascii="仿宋_GB2312" w:hAnsi="仿宋_GB2312" w:eastAsia="仿宋_GB2312"/>
          <w:color w:val="000000"/>
          <w:sz w:val="32"/>
          <w:lang w:val="zh-CN"/>
        </w:rPr>
        <w:t>年“三公”经费财政拨款支出决算为</w:t>
      </w:r>
      <w:r>
        <w:rPr>
          <w:rFonts w:hint="eastAsia" w:ascii="仿宋_GB2312" w:hAnsi="仿宋_GB2312" w:eastAsia="仿宋_GB2312"/>
          <w:color w:val="000000"/>
          <w:sz w:val="32"/>
        </w:rPr>
        <w:t>149.26</w:t>
      </w:r>
      <w:r>
        <w:rPr>
          <w:rFonts w:hint="eastAsia" w:ascii="仿宋_GB2312" w:hAnsi="仿宋_GB2312" w:eastAsia="仿宋_GB2312"/>
          <w:color w:val="000000"/>
          <w:sz w:val="32"/>
          <w:lang w:val="zh-CN"/>
        </w:rPr>
        <w:t>万元，完成预算</w:t>
      </w:r>
      <w:r>
        <w:rPr>
          <w:rFonts w:hint="eastAsia" w:ascii="仿宋_GB2312" w:hAnsi="仿宋_GB2312" w:eastAsia="仿宋_GB2312"/>
          <w:color w:val="000000"/>
          <w:sz w:val="32"/>
        </w:rPr>
        <w:t>99.46</w:t>
      </w:r>
      <w:r>
        <w:rPr>
          <w:rFonts w:hint="eastAsia" w:ascii="仿宋_GB2312" w:hAnsi="仿宋_GB2312" w:eastAsia="仿宋_GB2312"/>
          <w:color w:val="000000"/>
          <w:sz w:val="32"/>
          <w:lang w:val="zh-CN"/>
        </w:rPr>
        <w:t>%；较上年增加</w:t>
      </w:r>
      <w:r>
        <w:rPr>
          <w:rFonts w:hint="eastAsia" w:ascii="仿宋_GB2312" w:hAnsi="仿宋_GB2312" w:eastAsia="仿宋_GB2312"/>
          <w:color w:val="000000"/>
          <w:sz w:val="32"/>
        </w:rPr>
        <w:t>58.12</w:t>
      </w:r>
      <w:r>
        <w:rPr>
          <w:rFonts w:hint="eastAsia" w:ascii="仿宋_GB2312" w:hAnsi="仿宋_GB2312" w:eastAsia="仿宋_GB2312"/>
          <w:color w:val="000000"/>
          <w:sz w:val="32"/>
          <w:lang w:val="zh-CN"/>
        </w:rPr>
        <w:t>万元，增长</w:t>
      </w:r>
      <w:r>
        <w:rPr>
          <w:rFonts w:hint="eastAsia" w:ascii="仿宋_GB2312" w:hAnsi="仿宋_GB2312" w:eastAsia="仿宋_GB2312"/>
          <w:color w:val="000000"/>
          <w:sz w:val="32"/>
        </w:rPr>
        <w:t>59.2</w:t>
      </w:r>
      <w:r>
        <w:rPr>
          <w:rFonts w:hint="eastAsia" w:ascii="仿宋_GB2312" w:hAnsi="仿宋_GB2312" w:eastAsia="仿宋_GB2312"/>
          <w:color w:val="000000"/>
          <w:sz w:val="32"/>
          <w:lang w:val="zh-CN"/>
        </w:rPr>
        <w:t>%。</w:t>
      </w:r>
      <w:r>
        <w:rPr>
          <w:rFonts w:hint="eastAsia" w:ascii="仿宋_GB2312" w:hAnsi="仿宋_GB2312" w:eastAsia="仿宋_GB2312" w:cs="仿宋_GB2312"/>
          <w:sz w:val="32"/>
          <w:szCs w:val="32"/>
        </w:rPr>
        <w:t>决算数小于预算数的主要原因是公车采购预算资金大于实际购买支付金额。</w:t>
      </w:r>
    </w:p>
    <w:p>
      <w:pPr>
        <w:spacing w:line="600" w:lineRule="exact"/>
        <w:ind w:left="420" w:leftChars="200" w:firstLine="320" w:firstLineChars="100"/>
        <w:outlineLvl w:val="2"/>
        <w:rPr>
          <w:rFonts w:ascii="仿宋" w:hAnsi="仿宋" w:eastAsia="仿宋"/>
          <w:b/>
          <w:sz w:val="32"/>
          <w:szCs w:val="32"/>
        </w:rPr>
      </w:pPr>
      <w:bookmarkStart w:id="30" w:name="_Toc15377217"/>
      <w:r>
        <w:rPr>
          <w:rFonts w:hint="eastAsia" w:ascii="仿宋" w:hAnsi="仿宋" w:eastAsia="仿宋"/>
          <w:b/>
          <w:sz w:val="32"/>
          <w:szCs w:val="32"/>
        </w:rPr>
        <w:t>（二）“三公”经费财政拨款支出决算具体情况说明</w:t>
      </w:r>
      <w:bookmarkEnd w:id="30"/>
    </w:p>
    <w:p>
      <w:pPr>
        <w:spacing w:line="600" w:lineRule="exact"/>
        <w:ind w:left="420" w:leftChars="200" w:firstLine="640" w:firstLineChars="200"/>
        <w:outlineLvl w:val="2"/>
        <w:rPr>
          <w:rFonts w:ascii="仿宋_GB2312" w:hAnsi="仿宋_GB2312" w:eastAsia="仿宋_GB2312"/>
          <w:color w:val="000000"/>
          <w:sz w:val="32"/>
          <w:lang w:val="zh-CN"/>
        </w:rPr>
      </w:pPr>
      <w:r>
        <w:rPr>
          <w:rFonts w:hint="eastAsia" w:ascii="仿宋_GB2312" w:hAnsi="仿宋_GB2312" w:eastAsia="仿宋_GB2312"/>
          <w:color w:val="000000"/>
          <w:sz w:val="32"/>
          <w:lang w:val="zh-CN"/>
        </w:rPr>
        <w:t>202</w:t>
      </w:r>
      <w:r>
        <w:rPr>
          <w:rFonts w:hint="eastAsia" w:ascii="仿宋_GB2312" w:hAnsi="仿宋_GB2312" w:eastAsia="仿宋_GB2312"/>
          <w:color w:val="000000"/>
          <w:sz w:val="32"/>
        </w:rPr>
        <w:t>3</w:t>
      </w:r>
      <w:r>
        <w:rPr>
          <w:rFonts w:hint="eastAsia" w:ascii="仿宋_GB2312" w:hAnsi="仿宋_GB2312" w:eastAsia="仿宋_GB2312"/>
          <w:color w:val="000000"/>
          <w:sz w:val="32"/>
          <w:lang w:val="zh-CN"/>
        </w:rPr>
        <w:t>年“三公”经费财政拨款支出决算中，因公出国（境）费支出决算0万元，占0%；公务用车购置及运行维护费支出决算</w:t>
      </w:r>
      <w:r>
        <w:rPr>
          <w:rFonts w:hint="eastAsia" w:ascii="仿宋_GB2312" w:hAnsi="仿宋_GB2312" w:eastAsia="仿宋_GB2312"/>
          <w:color w:val="000000"/>
          <w:sz w:val="32"/>
        </w:rPr>
        <w:t>141.46</w:t>
      </w:r>
      <w:r>
        <w:rPr>
          <w:rFonts w:hint="eastAsia" w:ascii="仿宋_GB2312" w:hAnsi="仿宋_GB2312" w:eastAsia="仿宋_GB2312"/>
          <w:color w:val="000000"/>
          <w:sz w:val="32"/>
          <w:lang w:val="zh-CN"/>
        </w:rPr>
        <w:t>万元，占9</w:t>
      </w:r>
      <w:r>
        <w:rPr>
          <w:rFonts w:hint="eastAsia" w:ascii="仿宋_GB2312" w:hAnsi="仿宋_GB2312" w:eastAsia="仿宋_GB2312"/>
          <w:color w:val="000000"/>
          <w:sz w:val="32"/>
        </w:rPr>
        <w:t>4.7</w:t>
      </w:r>
      <w:r>
        <w:rPr>
          <w:rFonts w:hint="eastAsia" w:ascii="仿宋_GB2312" w:hAnsi="仿宋_GB2312" w:eastAsia="仿宋_GB2312"/>
          <w:color w:val="000000"/>
          <w:sz w:val="32"/>
          <w:lang w:val="zh-CN"/>
        </w:rPr>
        <w:t>%；公务接待费支出决算</w:t>
      </w:r>
      <w:r>
        <w:rPr>
          <w:rFonts w:hint="eastAsia" w:ascii="仿宋_GB2312" w:hAnsi="仿宋_GB2312" w:eastAsia="仿宋_GB2312"/>
          <w:color w:val="000000"/>
          <w:sz w:val="32"/>
        </w:rPr>
        <w:t>7.8</w:t>
      </w:r>
      <w:r>
        <w:rPr>
          <w:rFonts w:hint="eastAsia" w:ascii="仿宋_GB2312" w:hAnsi="仿宋_GB2312" w:eastAsia="仿宋_GB2312"/>
          <w:color w:val="000000"/>
          <w:sz w:val="32"/>
          <w:lang w:val="zh-CN"/>
        </w:rPr>
        <w:t>万元，占</w:t>
      </w:r>
      <w:r>
        <w:rPr>
          <w:rFonts w:hint="eastAsia" w:ascii="仿宋_GB2312" w:hAnsi="仿宋_GB2312" w:eastAsia="仿宋_GB2312"/>
          <w:color w:val="000000"/>
          <w:sz w:val="32"/>
        </w:rPr>
        <w:t>5.3</w:t>
      </w:r>
      <w:r>
        <w:rPr>
          <w:rFonts w:hint="eastAsia" w:ascii="仿宋_GB2312" w:hAnsi="仿宋_GB2312" w:eastAsia="仿宋_GB2312"/>
          <w:color w:val="000000"/>
          <w:sz w:val="32"/>
          <w:lang w:val="zh-CN"/>
        </w:rPr>
        <w:t>%。具体情况如下：</w:t>
      </w:r>
    </w:p>
    <w:p>
      <w:pPr>
        <w:pStyle w:val="2"/>
        <w:spacing w:before="93"/>
        <w:jc w:val="center"/>
        <w:rPr>
          <w:rFonts w:hAnsi="仿宋_GB2312"/>
          <w:color w:val="000000"/>
          <w:kern w:val="2"/>
          <w:sz w:val="32"/>
          <w:lang w:val="zh-CN"/>
        </w:rPr>
      </w:pPr>
      <w:r>
        <w:drawing>
          <wp:inline distT="0" distB="0" distL="114300" distR="114300">
            <wp:extent cx="3973195" cy="2239010"/>
            <wp:effectExtent l="4445" t="4445" r="22860" b="23495"/>
            <wp:docPr id="1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spacing w:line="600" w:lineRule="exact"/>
        <w:ind w:firstLine="640"/>
        <w:rPr>
          <w:rFonts w:ascii="仿宋" w:hAnsi="仿宋" w:eastAsia="仿宋"/>
          <w:sz w:val="32"/>
          <w:szCs w:val="32"/>
        </w:rPr>
      </w:pPr>
      <w:r>
        <w:rPr>
          <w:rFonts w:hint="eastAsia" w:ascii="仿宋" w:hAnsi="仿宋" w:eastAsia="仿宋"/>
          <w:sz w:val="32"/>
          <w:szCs w:val="32"/>
        </w:rPr>
        <w:t>（图7：“三公”经费财政拨款支出结构）（饼状图）</w:t>
      </w:r>
    </w:p>
    <w:p>
      <w:pPr>
        <w:spacing w:line="600" w:lineRule="exact"/>
        <w:ind w:firstLine="645"/>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sz w:val="32"/>
          <w:szCs w:val="32"/>
        </w:rPr>
        <w:t>0万元，年初未安排预算，因公出国（境）支出决算较2022年无变化。</w:t>
      </w:r>
    </w:p>
    <w:p>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_GB2312" w:hAnsi="仿宋_GB2312" w:eastAsia="仿宋_GB2312"/>
          <w:sz w:val="32"/>
        </w:rPr>
        <w:t>141.46</w:t>
      </w:r>
      <w:r>
        <w:rPr>
          <w:rFonts w:hint="eastAsia" w:ascii="仿宋_GB2312" w:hAnsi="仿宋_GB2312" w:eastAsia="仿宋_GB2312"/>
          <w:sz w:val="32"/>
          <w:lang w:val="zh-CN"/>
        </w:rPr>
        <w:t>万元，完成预算</w:t>
      </w:r>
      <w:r>
        <w:rPr>
          <w:rFonts w:hint="eastAsia" w:ascii="仿宋_GB2312" w:hAnsi="仿宋_GB2312" w:eastAsia="仿宋_GB2312"/>
          <w:sz w:val="32"/>
        </w:rPr>
        <w:t>99.4</w:t>
      </w:r>
      <w:r>
        <w:rPr>
          <w:rFonts w:hint="eastAsia" w:ascii="仿宋_GB2312" w:hAnsi="仿宋_GB2312" w:eastAsia="仿宋_GB2312"/>
          <w:sz w:val="32"/>
          <w:lang w:val="zh-CN"/>
        </w:rPr>
        <w:t>%。公务用车购置及运行维护费支出决算比202</w:t>
      </w:r>
      <w:r>
        <w:rPr>
          <w:rFonts w:hint="eastAsia" w:ascii="仿宋_GB2312" w:hAnsi="仿宋_GB2312" w:eastAsia="仿宋_GB2312"/>
          <w:sz w:val="32"/>
        </w:rPr>
        <w:t>2</w:t>
      </w:r>
      <w:r>
        <w:rPr>
          <w:rFonts w:hint="eastAsia" w:ascii="仿宋_GB2312" w:hAnsi="仿宋_GB2312" w:eastAsia="仿宋_GB2312"/>
          <w:sz w:val="32"/>
          <w:lang w:val="zh-CN"/>
        </w:rPr>
        <w:t>年增加</w:t>
      </w:r>
      <w:r>
        <w:rPr>
          <w:rFonts w:hint="eastAsia" w:ascii="仿宋_GB2312" w:hAnsi="仿宋_GB2312" w:eastAsia="仿宋_GB2312"/>
          <w:sz w:val="32"/>
        </w:rPr>
        <w:t>43.32</w:t>
      </w:r>
      <w:r>
        <w:rPr>
          <w:rFonts w:hint="eastAsia" w:ascii="仿宋_GB2312" w:hAnsi="仿宋_GB2312" w:eastAsia="仿宋_GB2312"/>
          <w:sz w:val="32"/>
          <w:lang w:val="zh-CN"/>
        </w:rPr>
        <w:t>万元，增长</w:t>
      </w:r>
      <w:r>
        <w:rPr>
          <w:rFonts w:hint="eastAsia" w:ascii="仿宋_GB2312" w:hAnsi="仿宋_GB2312" w:eastAsia="仿宋_GB2312"/>
          <w:sz w:val="32"/>
        </w:rPr>
        <w:t>44.1</w:t>
      </w:r>
      <w:r>
        <w:rPr>
          <w:rFonts w:hint="eastAsia" w:ascii="仿宋_GB2312" w:hAnsi="仿宋_GB2312" w:eastAsia="仿宋_GB2312"/>
          <w:sz w:val="32"/>
          <w:lang w:val="zh-CN"/>
        </w:rPr>
        <w:t>%。主要原因是</w:t>
      </w:r>
      <w:r>
        <w:rPr>
          <w:rFonts w:hint="eastAsia" w:ascii="仿宋_GB2312" w:hAnsi="仿宋_GB2312" w:eastAsia="仿宋_GB2312"/>
          <w:sz w:val="32"/>
        </w:rPr>
        <w:t>2023年新购置公车4辆</w:t>
      </w:r>
      <w:r>
        <w:rPr>
          <w:rFonts w:hint="eastAsia" w:ascii="仿宋_GB2312" w:eastAsia="仿宋_GB2312"/>
          <w:sz w:val="32"/>
          <w:szCs w:val="32"/>
        </w:rPr>
        <w:t>。</w:t>
      </w:r>
    </w:p>
    <w:p>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hAnsi="仿宋_GB2312" w:eastAsia="仿宋_GB2312"/>
          <w:b/>
          <w:sz w:val="32"/>
          <w:lang w:val="zh-CN"/>
        </w:rPr>
        <w:t>公务用车购置费</w:t>
      </w:r>
      <w:r>
        <w:rPr>
          <w:rFonts w:hint="eastAsia" w:ascii="仿宋_GB2312" w:hAnsi="仿宋_GB2312" w:eastAsia="仿宋_GB2312"/>
          <w:sz w:val="32"/>
          <w:lang w:val="zh-CN"/>
        </w:rPr>
        <w:t>支出</w:t>
      </w:r>
      <w:r>
        <w:rPr>
          <w:rFonts w:hint="eastAsia" w:ascii="仿宋_GB2312" w:hAnsi="仿宋_GB2312" w:eastAsia="仿宋_GB2312"/>
          <w:sz w:val="32"/>
        </w:rPr>
        <w:t>59.2</w:t>
      </w:r>
      <w:r>
        <w:rPr>
          <w:rFonts w:hint="eastAsia" w:ascii="仿宋_GB2312" w:hAnsi="仿宋_GB2312" w:eastAsia="仿宋_GB2312"/>
          <w:sz w:val="32"/>
          <w:lang w:val="zh-CN"/>
        </w:rPr>
        <w:t>万元。全年按规定更新购置公务用车</w:t>
      </w:r>
      <w:r>
        <w:rPr>
          <w:rFonts w:hint="eastAsia" w:ascii="仿宋_GB2312" w:hAnsi="仿宋_GB2312" w:eastAsia="仿宋_GB2312"/>
          <w:sz w:val="32"/>
        </w:rPr>
        <w:t>4</w:t>
      </w:r>
      <w:r>
        <w:rPr>
          <w:rFonts w:hint="eastAsia" w:ascii="仿宋_GB2312" w:hAnsi="仿宋_GB2312" w:eastAsia="仿宋_GB2312"/>
          <w:sz w:val="32"/>
          <w:lang w:val="zh-CN"/>
        </w:rPr>
        <w:t>辆</w:t>
      </w:r>
      <w:r>
        <w:rPr>
          <w:rFonts w:hint="eastAsia" w:ascii="仿宋_GB2312" w:eastAsia="仿宋_GB2312"/>
          <w:sz w:val="32"/>
          <w:szCs w:val="32"/>
        </w:rPr>
        <w:t>，主要用于保障我院审判、执行及行政管理工作的正常运行。截至</w:t>
      </w:r>
      <w:r>
        <w:rPr>
          <w:rFonts w:ascii="仿宋_GB2312" w:eastAsia="仿宋_GB2312"/>
          <w:sz w:val="32"/>
          <w:szCs w:val="32"/>
        </w:rPr>
        <w:t>20</w:t>
      </w:r>
      <w:r>
        <w:rPr>
          <w:rFonts w:hint="eastAsia" w:ascii="仿宋_GB2312" w:eastAsia="仿宋_GB2312"/>
          <w:sz w:val="32"/>
          <w:szCs w:val="32"/>
        </w:rPr>
        <w:t>23年</w:t>
      </w:r>
      <w:r>
        <w:rPr>
          <w:rFonts w:ascii="仿宋_GB2312" w:eastAsia="仿宋_GB2312"/>
          <w:sz w:val="32"/>
          <w:szCs w:val="32"/>
        </w:rPr>
        <w:t>12</w:t>
      </w:r>
      <w:r>
        <w:rPr>
          <w:rFonts w:hint="eastAsia" w:ascii="仿宋_GB2312" w:eastAsia="仿宋_GB2312"/>
          <w:sz w:val="32"/>
          <w:szCs w:val="32"/>
        </w:rPr>
        <w:t>月底，单位共有公务用车25辆，其中：轿车21辆，商务车1辆、载客汽车2辆，越野车1辆。</w:t>
      </w:r>
    </w:p>
    <w:p>
      <w:pPr>
        <w:spacing w:line="600" w:lineRule="exact"/>
        <w:ind w:firstLine="640"/>
        <w:rPr>
          <w:rFonts w:ascii="仿宋_GB2312" w:eastAsia="仿宋_GB2312"/>
          <w:sz w:val="32"/>
          <w:szCs w:val="32"/>
        </w:rPr>
      </w:pPr>
      <w:r>
        <w:rPr>
          <w:rFonts w:hint="eastAsia" w:ascii="仿宋_GB2312" w:hAnsi="仿宋_GB2312" w:eastAsia="仿宋_GB2312"/>
          <w:b/>
          <w:sz w:val="32"/>
          <w:lang w:val="zh-CN"/>
        </w:rPr>
        <w:t>公务用车运行维护费</w:t>
      </w:r>
      <w:r>
        <w:rPr>
          <w:rFonts w:hint="eastAsia" w:ascii="仿宋_GB2312" w:hAnsi="仿宋_GB2312" w:eastAsia="仿宋_GB2312"/>
          <w:sz w:val="32"/>
          <w:lang w:val="zh-CN"/>
        </w:rPr>
        <w:t>支出</w:t>
      </w:r>
      <w:r>
        <w:rPr>
          <w:rFonts w:hint="eastAsia" w:ascii="仿宋_GB2312" w:hAnsi="仿宋_GB2312" w:eastAsia="仿宋_GB2312"/>
          <w:sz w:val="32"/>
        </w:rPr>
        <w:t>82.26</w:t>
      </w:r>
      <w:r>
        <w:rPr>
          <w:rFonts w:hint="eastAsia" w:ascii="仿宋_GB2312" w:hAnsi="仿宋_GB2312" w:eastAsia="仿宋_GB2312"/>
          <w:sz w:val="32"/>
          <w:lang w:val="zh-CN"/>
        </w:rPr>
        <w:t>万元。</w:t>
      </w:r>
      <w:r>
        <w:rPr>
          <w:rFonts w:hint="eastAsia" w:ascii="仿宋_GB2312" w:eastAsia="仿宋_GB2312"/>
          <w:sz w:val="32"/>
          <w:szCs w:val="32"/>
        </w:rPr>
        <w:t>主要用于我院审判执行等所需的公务用车燃料费、维修费、过路过桥费、保险费等支出。</w:t>
      </w:r>
    </w:p>
    <w:p>
      <w:pPr>
        <w:spacing w:line="600" w:lineRule="exact"/>
        <w:ind w:firstLine="640"/>
        <w:rPr>
          <w:rFonts w:ascii="仿宋_GB2312" w:hAnsi="仿宋_GB2312" w:eastAsia="仿宋_GB2312"/>
          <w:sz w:val="32"/>
        </w:rPr>
      </w:pPr>
      <w:r>
        <w:rPr>
          <w:rFonts w:ascii="仿宋_GB2312" w:eastAsia="仿宋_GB2312"/>
          <w:b/>
          <w:sz w:val="32"/>
          <w:szCs w:val="32"/>
        </w:rPr>
        <w:t>3.</w:t>
      </w:r>
      <w:r>
        <w:rPr>
          <w:rFonts w:hint="eastAsia" w:ascii="仿宋_GB2312" w:hAnsi="仿宋_GB2312" w:eastAsia="仿宋_GB2312"/>
          <w:b/>
          <w:sz w:val="32"/>
          <w:lang w:val="zh-CN"/>
        </w:rPr>
        <w:t>公务接待费</w:t>
      </w:r>
      <w:r>
        <w:rPr>
          <w:rFonts w:hint="eastAsia" w:ascii="仿宋_GB2312" w:hAnsi="仿宋_GB2312" w:eastAsia="仿宋_GB2312"/>
          <w:sz w:val="32"/>
          <w:lang w:val="zh-CN"/>
        </w:rPr>
        <w:t>支出</w:t>
      </w:r>
      <w:r>
        <w:rPr>
          <w:rFonts w:hint="eastAsia" w:ascii="仿宋_GB2312" w:hAnsi="仿宋_GB2312" w:eastAsia="仿宋_GB2312"/>
          <w:sz w:val="32"/>
        </w:rPr>
        <w:t>7.8</w:t>
      </w:r>
      <w:r>
        <w:rPr>
          <w:rFonts w:hint="eastAsia" w:ascii="仿宋_GB2312" w:hAnsi="仿宋_GB2312" w:eastAsia="仿宋_GB2312"/>
          <w:sz w:val="32"/>
          <w:lang w:val="zh-CN"/>
        </w:rPr>
        <w:t>万元，完成预算100%。公务接待费支出决算比202</w:t>
      </w:r>
      <w:r>
        <w:rPr>
          <w:rFonts w:hint="eastAsia" w:ascii="仿宋_GB2312" w:hAnsi="仿宋_GB2312" w:eastAsia="仿宋_GB2312"/>
          <w:sz w:val="32"/>
        </w:rPr>
        <w:t>2</w:t>
      </w:r>
      <w:r>
        <w:rPr>
          <w:rFonts w:hint="eastAsia" w:ascii="仿宋_GB2312" w:hAnsi="仿宋_GB2312" w:eastAsia="仿宋_GB2312"/>
          <w:sz w:val="32"/>
          <w:lang w:val="zh-CN"/>
        </w:rPr>
        <w:t>年减少</w:t>
      </w:r>
      <w:r>
        <w:rPr>
          <w:rFonts w:hint="eastAsia" w:ascii="仿宋_GB2312" w:hAnsi="仿宋_GB2312" w:eastAsia="仿宋_GB2312"/>
          <w:sz w:val="32"/>
        </w:rPr>
        <w:t>0.2</w:t>
      </w:r>
      <w:r>
        <w:rPr>
          <w:rFonts w:hint="eastAsia" w:ascii="仿宋_GB2312" w:hAnsi="仿宋_GB2312" w:eastAsia="仿宋_GB2312"/>
          <w:sz w:val="32"/>
          <w:lang w:val="zh-CN"/>
        </w:rPr>
        <w:t>万元，下降</w:t>
      </w:r>
      <w:r>
        <w:rPr>
          <w:rFonts w:hint="eastAsia" w:ascii="仿宋_GB2312" w:hAnsi="仿宋_GB2312" w:eastAsia="仿宋_GB2312"/>
          <w:sz w:val="32"/>
        </w:rPr>
        <w:t>2.5</w:t>
      </w:r>
      <w:r>
        <w:rPr>
          <w:rFonts w:hint="eastAsia" w:ascii="仿宋_GB2312" w:hAnsi="仿宋_GB2312" w:eastAsia="仿宋_GB2312"/>
          <w:sz w:val="32"/>
          <w:lang w:val="zh-CN"/>
        </w:rPr>
        <w:t>%。主要原因是</w:t>
      </w:r>
      <w:r>
        <w:rPr>
          <w:rFonts w:hint="eastAsia" w:ascii="仿宋_GB2312" w:eastAsia="仿宋_GB2312"/>
          <w:sz w:val="32"/>
          <w:szCs w:val="32"/>
        </w:rPr>
        <w:t>我院压缩公务接待，落实过紧日子要求、大多数接待在伙食团，节约经费。</w:t>
      </w:r>
    </w:p>
    <w:p>
      <w:pPr>
        <w:spacing w:line="576" w:lineRule="exact"/>
        <w:ind w:firstLine="641"/>
        <w:rPr>
          <w:rFonts w:ascii="仿宋_GB2312" w:hAnsi="仿宋_GB2312" w:eastAsia="仿宋_GB2312" w:cs="仿宋_GB2312"/>
          <w:sz w:val="32"/>
        </w:rPr>
      </w:pPr>
      <w:r>
        <w:rPr>
          <w:rFonts w:hint="eastAsia" w:ascii="仿宋_GB2312" w:hAnsi="仿宋_GB2312" w:eastAsia="仿宋_GB2312"/>
          <w:b/>
          <w:sz w:val="32"/>
          <w:lang w:val="zh-CN"/>
        </w:rPr>
        <w:t>国内公务接待</w:t>
      </w:r>
      <w:r>
        <w:rPr>
          <w:rFonts w:hint="eastAsia" w:ascii="仿宋_GB2312" w:hAnsi="仿宋_GB2312" w:eastAsia="仿宋_GB2312"/>
          <w:sz w:val="32"/>
          <w:lang w:val="zh-CN"/>
        </w:rPr>
        <w:t>支出</w:t>
      </w:r>
      <w:r>
        <w:rPr>
          <w:rFonts w:hint="eastAsia" w:ascii="仿宋_GB2312" w:hAnsi="仿宋_GB2312" w:eastAsia="仿宋_GB2312"/>
          <w:sz w:val="32"/>
        </w:rPr>
        <w:t>7.8</w:t>
      </w:r>
      <w:r>
        <w:rPr>
          <w:rFonts w:hint="eastAsia" w:ascii="仿宋_GB2312" w:hAnsi="仿宋_GB2312" w:eastAsia="仿宋_GB2312"/>
          <w:sz w:val="32"/>
          <w:lang w:val="zh-CN"/>
        </w:rPr>
        <w:t>万元。主要用于</w:t>
      </w:r>
      <w:r>
        <w:rPr>
          <w:rFonts w:hint="eastAsia" w:ascii="仿宋_GB2312" w:hAnsi="仿宋_GB2312" w:eastAsia="仿宋_GB2312"/>
          <w:sz w:val="32"/>
        </w:rPr>
        <w:t>我院（执行公务、</w:t>
      </w:r>
      <w:r>
        <w:rPr>
          <w:rFonts w:hint="eastAsia" w:ascii="仿宋_GB2312" w:hAnsi="仿宋_GB2312" w:eastAsia="仿宋_GB2312" w:cs="仿宋_GB2312"/>
          <w:sz w:val="32"/>
        </w:rPr>
        <w:t>开展业务活动开支的交通费、住宿费、用餐费等)。</w:t>
      </w:r>
      <w:r>
        <w:rPr>
          <w:rFonts w:hint="eastAsia" w:ascii="仿宋_GB2312" w:hAnsi="仿宋_GB2312" w:eastAsia="仿宋_GB2312" w:cs="仿宋_GB2312"/>
          <w:sz w:val="32"/>
          <w:lang w:val="zh-CN"/>
        </w:rPr>
        <w:t>国内公务接待</w:t>
      </w:r>
      <w:r>
        <w:rPr>
          <w:rFonts w:hint="eastAsia" w:ascii="仿宋_GB2312" w:hAnsi="仿宋_GB2312" w:eastAsia="仿宋_GB2312" w:cs="仿宋_GB2312"/>
          <w:sz w:val="32"/>
        </w:rPr>
        <w:t>71</w:t>
      </w:r>
      <w:r>
        <w:rPr>
          <w:rFonts w:hint="eastAsia" w:ascii="仿宋_GB2312" w:hAnsi="仿宋_GB2312" w:eastAsia="仿宋_GB2312" w:cs="仿宋_GB2312"/>
          <w:sz w:val="32"/>
          <w:lang w:val="zh-CN"/>
        </w:rPr>
        <w:t>批次，</w:t>
      </w:r>
      <w:r>
        <w:rPr>
          <w:rFonts w:hint="eastAsia" w:ascii="仿宋_GB2312" w:hAnsi="仿宋_GB2312" w:eastAsia="仿宋_GB2312" w:cs="仿宋_GB2312"/>
          <w:sz w:val="32"/>
        </w:rPr>
        <w:t>4</w:t>
      </w:r>
      <w:r>
        <w:rPr>
          <w:rFonts w:hint="eastAsia" w:ascii="仿宋_GB2312" w:hAnsi="仿宋_GB2312" w:eastAsia="仿宋_GB2312" w:cs="仿宋_GB2312"/>
          <w:sz w:val="32"/>
          <w:lang w:val="zh-CN"/>
        </w:rPr>
        <w:t>50人次，共计支出</w:t>
      </w:r>
      <w:r>
        <w:rPr>
          <w:rFonts w:hint="eastAsia" w:ascii="仿宋_GB2312" w:hAnsi="仿宋_GB2312" w:eastAsia="仿宋_GB2312" w:cs="仿宋_GB2312"/>
          <w:sz w:val="32"/>
        </w:rPr>
        <w:t>7.8</w:t>
      </w:r>
      <w:r>
        <w:rPr>
          <w:rFonts w:hint="eastAsia" w:ascii="仿宋_GB2312" w:hAnsi="仿宋_GB2312" w:eastAsia="仿宋_GB2312" w:cs="仿宋_GB2312"/>
          <w:sz w:val="32"/>
          <w:lang w:val="zh-CN"/>
        </w:rPr>
        <w:t>万元，具体内容包括</w:t>
      </w:r>
      <w:r>
        <w:rPr>
          <w:rFonts w:hint="eastAsia" w:ascii="仿宋_GB2312" w:hAnsi="仿宋_GB2312" w:eastAsia="仿宋_GB2312" w:cs="仿宋_GB2312"/>
          <w:sz w:val="32"/>
          <w:szCs w:val="32"/>
        </w:rPr>
        <w:t>办案协作和各类专项活动、等级达标创建、上级检查等业务接待的用餐费等。</w:t>
      </w:r>
    </w:p>
    <w:p>
      <w:pPr>
        <w:spacing w:line="576" w:lineRule="exact"/>
        <w:ind w:firstLine="641"/>
        <w:rPr>
          <w:rFonts w:ascii="仿宋_GB2312" w:eastAsia="仿宋_GB2312"/>
          <w:sz w:val="32"/>
          <w:szCs w:val="32"/>
        </w:rPr>
      </w:pPr>
      <w:r>
        <w:rPr>
          <w:rFonts w:hint="eastAsia" w:ascii="仿宋_GB2312" w:hAnsi="仿宋_GB2312" w:eastAsia="仿宋_GB2312"/>
          <w:b/>
          <w:sz w:val="32"/>
          <w:lang w:val="zh-CN"/>
        </w:rPr>
        <w:t>外事接待</w:t>
      </w:r>
      <w:r>
        <w:rPr>
          <w:rFonts w:hint="eastAsia" w:ascii="仿宋_GB2312" w:hAnsi="仿宋_GB2312" w:eastAsia="仿宋_GB2312"/>
          <w:sz w:val="32"/>
          <w:lang w:val="zh-CN"/>
        </w:rPr>
        <w:t>支出0万元，外事接待0批次，0人，共计支出0万元。</w:t>
      </w:r>
    </w:p>
    <w:p>
      <w:pPr>
        <w:spacing w:line="600" w:lineRule="exact"/>
        <w:ind w:firstLine="640"/>
        <w:outlineLvl w:val="1"/>
        <w:rPr>
          <w:rStyle w:val="21"/>
          <w:rFonts w:ascii="黑体" w:hAnsi="黑体" w:eastAsia="黑体"/>
        </w:rPr>
      </w:pPr>
      <w:bookmarkStart w:id="31" w:name="_Toc15377218"/>
      <w:bookmarkStart w:id="32" w:name="_Toc15396610"/>
      <w:r>
        <w:rPr>
          <w:rFonts w:hint="eastAsia" w:ascii="黑体" w:eastAsia="黑体"/>
          <w:sz w:val="32"/>
          <w:szCs w:val="32"/>
        </w:rPr>
        <w:t>八、</w:t>
      </w:r>
      <w:r>
        <w:rPr>
          <w:rStyle w:val="21"/>
          <w:rFonts w:hint="eastAsia" w:ascii="黑体" w:hAnsi="黑体" w:eastAsia="黑体"/>
          <w:b w:val="0"/>
        </w:rPr>
        <w:t>政府性基金预算支出决算情况说明</w:t>
      </w:r>
      <w:bookmarkEnd w:id="31"/>
      <w:bookmarkEnd w:id="32"/>
    </w:p>
    <w:p>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2023年度政府性基金预算财政拨款支出0万元。</w:t>
      </w:r>
    </w:p>
    <w:p>
      <w:pPr>
        <w:numPr>
          <w:ilvl w:val="0"/>
          <w:numId w:val="3"/>
        </w:numPr>
        <w:spacing w:line="600" w:lineRule="exact"/>
        <w:ind w:firstLine="640"/>
        <w:outlineLvl w:val="1"/>
        <w:rPr>
          <w:rStyle w:val="21"/>
          <w:rFonts w:ascii="黑体" w:hAnsi="黑体" w:eastAsia="黑体"/>
          <w:b w:val="0"/>
        </w:rPr>
      </w:pPr>
      <w:bookmarkStart w:id="33" w:name="_Toc15377219"/>
      <w:bookmarkStart w:id="34" w:name="_Toc15396611"/>
      <w:r>
        <w:rPr>
          <w:rStyle w:val="21"/>
          <w:rFonts w:hint="eastAsia" w:ascii="黑体" w:hAnsi="黑体" w:eastAsia="黑体"/>
          <w:b w:val="0"/>
        </w:rPr>
        <w:t>国有资本经营预算支出决算情况说明</w:t>
      </w:r>
      <w:bookmarkEnd w:id="33"/>
      <w:bookmarkEnd w:id="34"/>
    </w:p>
    <w:p>
      <w:pPr>
        <w:spacing w:line="600" w:lineRule="exact"/>
        <w:ind w:firstLine="640"/>
        <w:rPr>
          <w:rFonts w:ascii="仿宋_GB2312" w:eastAsia="仿宋_GB2312"/>
          <w:sz w:val="32"/>
          <w:szCs w:val="32"/>
        </w:rPr>
      </w:pPr>
      <w:bookmarkStart w:id="35" w:name="_Toc15396612"/>
      <w:bookmarkStart w:id="36" w:name="_Toc15377221"/>
      <w:r>
        <w:rPr>
          <w:rFonts w:hint="eastAsia" w:ascii="仿宋_GB2312" w:eastAsia="仿宋_GB2312"/>
          <w:sz w:val="32"/>
          <w:szCs w:val="32"/>
        </w:rPr>
        <w:t>2023年度国有资本经营预算财政拨款支出0万元。</w:t>
      </w:r>
    </w:p>
    <w:p>
      <w:pPr>
        <w:numPr>
          <w:ilvl w:val="0"/>
          <w:numId w:val="3"/>
        </w:numPr>
        <w:spacing w:line="600" w:lineRule="exact"/>
        <w:ind w:firstLine="640"/>
        <w:outlineLvl w:val="1"/>
        <w:rPr>
          <w:rStyle w:val="21"/>
          <w:rFonts w:ascii="黑体" w:hAnsi="黑体" w:eastAsia="黑体"/>
          <w:b w:val="0"/>
        </w:rPr>
      </w:pPr>
      <w:r>
        <w:rPr>
          <w:rStyle w:val="21"/>
          <w:rFonts w:hint="eastAsia" w:ascii="黑体" w:hAnsi="黑体" w:eastAsia="黑体"/>
          <w:b w:val="0"/>
        </w:rPr>
        <w:t>其他重要事项的情况说明</w:t>
      </w:r>
      <w:bookmarkEnd w:id="35"/>
      <w:bookmarkEnd w:id="36"/>
    </w:p>
    <w:p>
      <w:pPr>
        <w:spacing w:line="600" w:lineRule="exact"/>
        <w:ind w:firstLine="640" w:firstLineChars="200"/>
        <w:outlineLvl w:val="2"/>
        <w:rPr>
          <w:rFonts w:ascii="仿宋" w:hAnsi="仿宋" w:eastAsia="仿宋"/>
          <w:sz w:val="32"/>
          <w:szCs w:val="32"/>
        </w:rPr>
      </w:pPr>
      <w:bookmarkStart w:id="37" w:name="_Toc15377222"/>
      <w:r>
        <w:rPr>
          <w:rFonts w:hint="eastAsia" w:ascii="仿宋" w:hAnsi="仿宋" w:eastAsia="仿宋"/>
          <w:b/>
          <w:sz w:val="32"/>
          <w:szCs w:val="32"/>
        </w:rPr>
        <w:t>（一）机关运行经费支出情况</w:t>
      </w:r>
      <w:bookmarkEnd w:id="37"/>
    </w:p>
    <w:p>
      <w:pPr>
        <w:spacing w:line="576" w:lineRule="exact"/>
        <w:ind w:firstLine="640"/>
      </w:pPr>
      <w:r>
        <w:rPr>
          <w:rFonts w:hint="eastAsia" w:ascii="仿宋_GB2312" w:hAnsi="仿宋_GB2312" w:eastAsia="仿宋_GB2312"/>
          <w:sz w:val="32"/>
          <w:lang w:val="zh-CN"/>
        </w:rPr>
        <w:t>202</w:t>
      </w:r>
      <w:r>
        <w:rPr>
          <w:rFonts w:hint="eastAsia" w:ascii="仿宋_GB2312" w:hAnsi="仿宋_GB2312" w:eastAsia="仿宋_GB2312"/>
          <w:sz w:val="32"/>
        </w:rPr>
        <w:t>3</w:t>
      </w:r>
      <w:r>
        <w:rPr>
          <w:rFonts w:hint="eastAsia" w:ascii="仿宋_GB2312" w:hAnsi="仿宋_GB2312" w:eastAsia="仿宋_GB2312"/>
          <w:sz w:val="32"/>
          <w:lang w:val="zh-CN"/>
        </w:rPr>
        <w:t>年，苍溪县人民法院机关运行经费支出</w:t>
      </w:r>
      <w:r>
        <w:rPr>
          <w:rFonts w:hint="eastAsia" w:ascii="仿宋_GB2312" w:hAnsi="仿宋_GB2312" w:eastAsia="仿宋_GB2312"/>
          <w:sz w:val="32"/>
        </w:rPr>
        <w:t>439.88</w:t>
      </w:r>
      <w:r>
        <w:rPr>
          <w:rFonts w:hint="eastAsia" w:ascii="仿宋_GB2312" w:hAnsi="仿宋_GB2312" w:eastAsia="仿宋_GB2312"/>
          <w:sz w:val="32"/>
          <w:lang w:val="zh-CN"/>
        </w:rPr>
        <w:t>万元，比202</w:t>
      </w:r>
      <w:r>
        <w:rPr>
          <w:rFonts w:hint="eastAsia" w:ascii="仿宋_GB2312" w:hAnsi="仿宋_GB2312" w:eastAsia="仿宋_GB2312"/>
          <w:sz w:val="32"/>
        </w:rPr>
        <w:t>2</w:t>
      </w:r>
      <w:r>
        <w:rPr>
          <w:rFonts w:hint="eastAsia" w:ascii="仿宋_GB2312" w:hAnsi="仿宋_GB2312" w:eastAsia="仿宋_GB2312"/>
          <w:sz w:val="32"/>
          <w:lang w:val="zh-CN"/>
        </w:rPr>
        <w:t>年增加</w:t>
      </w:r>
      <w:r>
        <w:rPr>
          <w:rFonts w:hint="eastAsia" w:ascii="仿宋_GB2312" w:hAnsi="仿宋_GB2312" w:eastAsia="仿宋_GB2312"/>
          <w:sz w:val="32"/>
        </w:rPr>
        <w:t>103.49</w:t>
      </w:r>
      <w:r>
        <w:rPr>
          <w:rFonts w:hint="eastAsia" w:ascii="仿宋_GB2312" w:hAnsi="仿宋_GB2312" w:eastAsia="仿宋_GB2312"/>
          <w:sz w:val="32"/>
          <w:lang w:val="zh-CN"/>
        </w:rPr>
        <w:t>万元，增长</w:t>
      </w:r>
      <w:r>
        <w:rPr>
          <w:rFonts w:hint="eastAsia" w:ascii="仿宋_GB2312" w:hAnsi="仿宋_GB2312" w:eastAsia="仿宋_GB2312"/>
          <w:sz w:val="32"/>
        </w:rPr>
        <w:t>30.7</w:t>
      </w:r>
      <w:r>
        <w:rPr>
          <w:rFonts w:hint="eastAsia" w:ascii="仿宋_GB2312" w:hAnsi="仿宋_GB2312" w:eastAsia="仿宋_GB2312"/>
          <w:sz w:val="32"/>
          <w:lang w:val="zh-CN"/>
        </w:rPr>
        <w:t>%。主要原因是</w:t>
      </w:r>
      <w:r>
        <w:rPr>
          <w:rFonts w:hint="eastAsia" w:ascii="仿宋_GB2312" w:hAnsi="仿宋_GB2312" w:eastAsia="仿宋_GB2312"/>
          <w:sz w:val="32"/>
        </w:rPr>
        <w:t>2023年我院新增空调较多，电费增加，案件数量增加导致经费增加。</w:t>
      </w:r>
    </w:p>
    <w:p>
      <w:pPr>
        <w:autoSpaceDE w:val="0"/>
        <w:autoSpaceDN w:val="0"/>
        <w:adjustRightInd w:val="0"/>
        <w:spacing w:line="600" w:lineRule="exact"/>
        <w:ind w:firstLine="640" w:firstLineChars="200"/>
        <w:jc w:val="left"/>
        <w:outlineLvl w:val="2"/>
        <w:rPr>
          <w:rFonts w:ascii="仿宋" w:hAnsi="仿宋" w:eastAsia="仿宋"/>
          <w:b/>
          <w:sz w:val="32"/>
          <w:szCs w:val="32"/>
        </w:rPr>
      </w:pPr>
      <w:bookmarkStart w:id="38" w:name="_Toc15377223"/>
      <w:r>
        <w:rPr>
          <w:rFonts w:hint="eastAsia" w:ascii="仿宋" w:hAnsi="仿宋" w:eastAsia="仿宋"/>
          <w:b/>
          <w:sz w:val="32"/>
          <w:szCs w:val="32"/>
        </w:rPr>
        <w:t>（二）政府采购支出情况</w:t>
      </w:r>
      <w:bookmarkEnd w:id="38"/>
    </w:p>
    <w:p>
      <w:pPr>
        <w:spacing w:line="576" w:lineRule="exact"/>
        <w:ind w:firstLine="640"/>
        <w:rPr>
          <w:rFonts w:ascii="仿宋_GB2312" w:hAnsi="仿宋_GB2312" w:eastAsia="仿宋_GB2312"/>
          <w:sz w:val="32"/>
          <w:lang w:val="zh-CN"/>
        </w:rPr>
      </w:pPr>
      <w:r>
        <w:rPr>
          <w:rFonts w:hint="eastAsia" w:ascii="仿宋_GB2312" w:hAnsi="仿宋_GB2312" w:eastAsia="仿宋_GB2312"/>
          <w:sz w:val="32"/>
          <w:lang w:val="zh-CN"/>
        </w:rPr>
        <w:t>202</w:t>
      </w:r>
      <w:r>
        <w:rPr>
          <w:rFonts w:hint="eastAsia" w:ascii="仿宋_GB2312" w:hAnsi="仿宋_GB2312" w:eastAsia="仿宋_GB2312"/>
          <w:sz w:val="32"/>
        </w:rPr>
        <w:t>3</w:t>
      </w:r>
      <w:r>
        <w:rPr>
          <w:rFonts w:hint="eastAsia" w:ascii="仿宋_GB2312" w:hAnsi="仿宋_GB2312" w:eastAsia="仿宋_GB2312"/>
          <w:sz w:val="32"/>
          <w:lang w:val="zh-CN"/>
        </w:rPr>
        <w:t>年，苍溪县人民法院政府采购支出总额</w:t>
      </w:r>
      <w:r>
        <w:rPr>
          <w:rFonts w:hint="eastAsia" w:ascii="仿宋_GB2312" w:hAnsi="仿宋_GB2312" w:eastAsia="仿宋_GB2312"/>
          <w:sz w:val="32"/>
        </w:rPr>
        <w:t>73.17</w:t>
      </w:r>
      <w:r>
        <w:rPr>
          <w:rFonts w:hint="eastAsia" w:ascii="仿宋_GB2312" w:hAnsi="仿宋_GB2312" w:eastAsia="仿宋_GB2312"/>
          <w:sz w:val="32"/>
          <w:lang w:val="zh-CN"/>
        </w:rPr>
        <w:t>万元，其中：政府采购货物支出</w:t>
      </w:r>
      <w:r>
        <w:rPr>
          <w:rFonts w:hint="eastAsia" w:ascii="仿宋_GB2312" w:hAnsi="仿宋_GB2312" w:eastAsia="仿宋_GB2312"/>
          <w:sz w:val="32"/>
        </w:rPr>
        <w:t>73.17</w:t>
      </w:r>
      <w:r>
        <w:rPr>
          <w:rFonts w:hint="eastAsia" w:ascii="仿宋_GB2312" w:hAnsi="仿宋_GB2312" w:eastAsia="仿宋_GB2312"/>
          <w:sz w:val="32"/>
          <w:lang w:val="zh-CN"/>
        </w:rPr>
        <w:t>万元。</w:t>
      </w:r>
      <w:r>
        <w:rPr>
          <w:rFonts w:hint="eastAsia" w:ascii="仿宋_GB2312" w:eastAsia="仿宋_GB2312"/>
          <w:sz w:val="32"/>
          <w:szCs w:val="32"/>
        </w:rPr>
        <w:t>主要用于我院办公物资采购</w:t>
      </w:r>
      <w:r>
        <w:rPr>
          <w:rFonts w:hint="eastAsia" w:ascii="仿宋_GB2312" w:hAnsi="仿宋_GB2312" w:eastAsia="仿宋_GB2312"/>
          <w:sz w:val="32"/>
          <w:lang w:val="zh-CN"/>
        </w:rPr>
        <w:t>。授予中小企业合同金额</w:t>
      </w:r>
      <w:r>
        <w:rPr>
          <w:rFonts w:hint="eastAsia" w:ascii="仿宋_GB2312" w:hAnsi="仿宋_GB2312" w:eastAsia="仿宋_GB2312"/>
          <w:sz w:val="32"/>
        </w:rPr>
        <w:t>0</w:t>
      </w:r>
      <w:r>
        <w:rPr>
          <w:rFonts w:hint="eastAsia" w:ascii="仿宋_GB2312" w:hAnsi="仿宋_GB2312" w:eastAsia="仿宋_GB2312"/>
          <w:sz w:val="32"/>
          <w:lang w:val="zh-CN"/>
        </w:rPr>
        <w:t>万元，占政府采购支出总额的</w:t>
      </w:r>
      <w:r>
        <w:rPr>
          <w:rFonts w:hint="eastAsia" w:ascii="仿宋_GB2312" w:hAnsi="仿宋_GB2312" w:eastAsia="仿宋_GB2312"/>
          <w:sz w:val="32"/>
        </w:rPr>
        <w:t>0</w:t>
      </w:r>
      <w:r>
        <w:rPr>
          <w:rFonts w:hint="eastAsia" w:ascii="仿宋_GB2312" w:hAnsi="仿宋_GB2312" w:eastAsia="仿宋_GB2312"/>
          <w:sz w:val="32"/>
          <w:lang w:val="zh-CN"/>
        </w:rPr>
        <w:t>%，其中：授予小微企业合同金额0万元，</w:t>
      </w:r>
      <w:r>
        <w:rPr>
          <w:rFonts w:hint="eastAsia" w:ascii="仿宋_GB2312" w:hAnsi="仿宋_GB2312" w:eastAsia="仿宋_GB2312"/>
          <w:sz w:val="32"/>
        </w:rPr>
        <w:t>占政府采购支出总额的</w:t>
      </w:r>
      <w:r>
        <w:rPr>
          <w:rFonts w:hint="eastAsia" w:ascii="仿宋_GB2312" w:hAnsi="仿宋_GB2312" w:eastAsia="仿宋_GB2312"/>
          <w:sz w:val="32"/>
          <w:lang w:val="zh-CN"/>
        </w:rPr>
        <w:t>0%。</w:t>
      </w:r>
    </w:p>
    <w:p>
      <w:pPr>
        <w:autoSpaceDE w:val="0"/>
        <w:autoSpaceDN w:val="0"/>
        <w:adjustRightInd w:val="0"/>
        <w:spacing w:line="600" w:lineRule="exact"/>
        <w:ind w:firstLine="640" w:firstLineChars="200"/>
        <w:jc w:val="left"/>
        <w:outlineLvl w:val="2"/>
        <w:rPr>
          <w:rFonts w:ascii="仿宋" w:hAnsi="仿宋" w:eastAsia="仿宋"/>
          <w:b/>
          <w:sz w:val="32"/>
          <w:szCs w:val="32"/>
        </w:rPr>
      </w:pPr>
      <w:bookmarkStart w:id="39" w:name="_Toc15377224"/>
      <w:r>
        <w:rPr>
          <w:rFonts w:hint="eastAsia" w:ascii="仿宋" w:hAnsi="仿宋" w:eastAsia="仿宋"/>
          <w:b/>
          <w:sz w:val="32"/>
          <w:szCs w:val="32"/>
        </w:rPr>
        <w:t>（三）国有资产占有使用情况</w:t>
      </w:r>
      <w:bookmarkEnd w:id="39"/>
    </w:p>
    <w:p>
      <w:pPr>
        <w:spacing w:line="576" w:lineRule="exact"/>
        <w:ind w:firstLine="640"/>
        <w:rPr>
          <w:rFonts w:ascii="仿宋_GB2312" w:hAnsi="仿宋_GB2312" w:eastAsia="仿宋_GB2312"/>
          <w:sz w:val="32"/>
          <w:lang w:val="zh-CN"/>
        </w:rPr>
      </w:pPr>
      <w:r>
        <w:rPr>
          <w:rFonts w:hint="eastAsia" w:ascii="仿宋_GB2312" w:hAnsi="仿宋_GB2312" w:eastAsia="仿宋_GB2312"/>
          <w:sz w:val="32"/>
          <w:lang w:val="zh-CN"/>
        </w:rPr>
        <w:t>截至202</w:t>
      </w:r>
      <w:r>
        <w:rPr>
          <w:rFonts w:hint="eastAsia" w:ascii="仿宋_GB2312" w:hAnsi="仿宋_GB2312" w:eastAsia="仿宋_GB2312"/>
          <w:sz w:val="32"/>
        </w:rPr>
        <w:t>3</w:t>
      </w:r>
      <w:r>
        <w:rPr>
          <w:rFonts w:hint="eastAsia" w:ascii="仿宋_GB2312" w:hAnsi="仿宋_GB2312" w:eastAsia="仿宋_GB2312"/>
          <w:sz w:val="32"/>
          <w:lang w:val="zh-CN"/>
        </w:rPr>
        <w:t>年12月31日，苍溪县人民法院共有车辆25辆，其中：执法执勤用车25辆。单价100万元以上设备0台（套)。</w:t>
      </w:r>
    </w:p>
    <w:p>
      <w:pPr>
        <w:autoSpaceDE w:val="0"/>
        <w:autoSpaceDN w:val="0"/>
        <w:adjustRightInd w:val="0"/>
        <w:spacing w:line="600" w:lineRule="exact"/>
        <w:ind w:firstLine="640"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spacing w:line="600" w:lineRule="exact"/>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hAnsi="仿宋_GB2312" w:eastAsia="仿宋_GB2312" w:cs="仿宋_GB2312"/>
          <w:sz w:val="32"/>
          <w:szCs w:val="32"/>
        </w:rPr>
        <w:t>根据预算绩效管理要求，本</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在2023年度预算编制阶段，组织对聘用制书记员经费项目、法警法定工作日之外加班补贴项目、日常运行经费项目、案件审判经费项目、案件执行经费项目等5个项目开展了预算事前绩效评估，对5个项目编制了绩效目标，预算执行过程中，选取5个项目开展绩效监控。</w:t>
      </w:r>
      <w:r>
        <w:rPr>
          <w:rFonts w:hint="eastAsia" w:ascii="仿宋_GB2312" w:hAnsi="Times New Roman" w:eastAsia="仿宋_GB2312" w:cs="Times New Roman"/>
          <w:color w:val="auto"/>
          <w:sz w:val="32"/>
          <w:szCs w:val="32"/>
          <w:highlight w:val="none"/>
          <w:lang w:eastAsia="zh-CN"/>
        </w:rPr>
        <w:t>组织对</w:t>
      </w:r>
      <w:r>
        <w:rPr>
          <w:rFonts w:hint="eastAsia" w:ascii="仿宋_GB2312" w:hAnsi="Times New Roman" w:eastAsia="仿宋_GB2312" w:cs="Times New Roman"/>
          <w:color w:val="auto"/>
          <w:sz w:val="32"/>
          <w:szCs w:val="32"/>
          <w:highlight w:val="none"/>
          <w:lang w:val="en-US" w:eastAsia="zh-CN"/>
        </w:rPr>
        <w:t>5个项目开展绩效自评，绩效自评表详见第四部分附件。</w:t>
      </w:r>
    </w:p>
    <w:p>
      <w:pPr>
        <w:widowControl/>
        <w:ind w:firstLine="640" w:firstLineChars="200"/>
        <w:jc w:val="left"/>
        <w:rPr>
          <w:rFonts w:ascii="仿宋_GB2312" w:hAnsi="仿宋_GB2312" w:eastAsia="仿宋_GB2312" w:cs="仿宋_GB2312"/>
          <w:sz w:val="32"/>
          <w:szCs w:val="32"/>
        </w:rPr>
      </w:pPr>
    </w:p>
    <w:p>
      <w:pPr>
        <w:pStyle w:val="23"/>
        <w:keepNext w:val="0"/>
        <w:keepLines w:val="0"/>
        <w:rPr>
          <w:rFonts w:hint="eastAsia"/>
          <w:highlight w:val="yellow"/>
        </w:rPr>
      </w:pPr>
    </w:p>
    <w:p>
      <w:pPr>
        <w:rPr>
          <w:rFonts w:hint="eastAsia"/>
          <w:highlight w:val="yellow"/>
        </w:rPr>
      </w:pPr>
    </w:p>
    <w:p>
      <w:pPr>
        <w:pStyle w:val="23"/>
        <w:keepNext w:val="0"/>
        <w:keepLines w:val="0"/>
        <w:rPr>
          <w:rFonts w:hint="eastAsia"/>
          <w:highlight w:val="yellow"/>
        </w:rPr>
      </w:pPr>
    </w:p>
    <w:p>
      <w:pPr>
        <w:rPr>
          <w:rFonts w:hint="eastAsia"/>
          <w:highlight w:val="yellow"/>
        </w:rPr>
      </w:pPr>
    </w:p>
    <w:p>
      <w:pPr>
        <w:pStyle w:val="2"/>
        <w:rPr>
          <w:rFonts w:hint="eastAsia"/>
          <w:highlight w:val="yellow"/>
        </w:rPr>
      </w:pPr>
    </w:p>
    <w:p>
      <w:pPr>
        <w:pStyle w:val="2"/>
        <w:rPr>
          <w:rFonts w:hint="eastAsia"/>
          <w:highlight w:val="yellow"/>
        </w:rPr>
      </w:pPr>
    </w:p>
    <w:p>
      <w:pPr>
        <w:pStyle w:val="2"/>
        <w:rPr>
          <w:rFonts w:hint="eastAsia"/>
          <w:highlight w:val="yellow"/>
        </w:rPr>
      </w:pPr>
    </w:p>
    <w:p>
      <w:pPr>
        <w:pStyle w:val="2"/>
        <w:rPr>
          <w:rFonts w:hint="eastAsia"/>
          <w:highlight w:val="yellow"/>
        </w:rPr>
      </w:pPr>
    </w:p>
    <w:p>
      <w:pPr>
        <w:pStyle w:val="2"/>
        <w:rPr>
          <w:rFonts w:hint="eastAsia"/>
          <w:highlight w:val="yellow"/>
        </w:rPr>
      </w:pPr>
    </w:p>
    <w:p>
      <w:pPr>
        <w:pStyle w:val="2"/>
        <w:rPr>
          <w:rFonts w:hint="eastAsia"/>
          <w:highlight w:val="yellow"/>
        </w:rPr>
      </w:pPr>
    </w:p>
    <w:p>
      <w:pPr>
        <w:rPr>
          <w:rFonts w:hint="eastAsia"/>
          <w:highlight w:val="yellow"/>
        </w:rPr>
      </w:pPr>
    </w:p>
    <w:p>
      <w:pPr>
        <w:pStyle w:val="23"/>
        <w:keepNext w:val="0"/>
        <w:keepLines w:val="0"/>
      </w:pPr>
    </w:p>
    <w:p>
      <w:pPr>
        <w:numPr>
          <w:ilvl w:val="0"/>
          <w:numId w:val="4"/>
        </w:numPr>
        <w:spacing w:line="600" w:lineRule="exact"/>
        <w:ind w:firstLine="660" w:firstLineChars="150"/>
        <w:jc w:val="center"/>
        <w:outlineLvl w:val="0"/>
        <w:rPr>
          <w:rStyle w:val="20"/>
          <w:rFonts w:ascii="黑体" w:hAnsi="黑体" w:eastAsia="黑体"/>
          <w:b w:val="0"/>
        </w:rPr>
      </w:pPr>
      <w:bookmarkStart w:id="40" w:name="_Toc15396613"/>
      <w:bookmarkStart w:id="41" w:name="_Toc15377225"/>
      <w:r>
        <w:rPr>
          <w:rFonts w:hint="eastAsia" w:ascii="黑体" w:hAnsi="黑体" w:eastAsia="黑体"/>
          <w:sz w:val="44"/>
          <w:szCs w:val="44"/>
        </w:rPr>
        <w:t>名</w:t>
      </w:r>
      <w:r>
        <w:rPr>
          <w:rStyle w:val="20"/>
          <w:rFonts w:hint="eastAsia" w:ascii="黑体" w:hAnsi="黑体" w:eastAsia="黑体"/>
          <w:b w:val="0"/>
        </w:rPr>
        <w:t>词解释</w:t>
      </w:r>
      <w:bookmarkEnd w:id="40"/>
      <w:bookmarkEnd w:id="41"/>
    </w:p>
    <w:p>
      <w:pPr>
        <w:spacing w:line="600" w:lineRule="exact"/>
        <w:jc w:val="left"/>
        <w:rPr>
          <w:rFonts w:ascii="宋体"/>
          <w:b/>
          <w:sz w:val="44"/>
          <w:szCs w:val="44"/>
        </w:rPr>
      </w:pPr>
    </w:p>
    <w:p>
      <w:pPr>
        <w:numPr>
          <w:ilvl w:val="0"/>
          <w:numId w:val="5"/>
        </w:numPr>
        <w:spacing w:beforeLines="0" w:afterLines="0" w:line="580" w:lineRule="exact"/>
        <w:rPr>
          <w:rFonts w:hint="eastAsia" w:ascii="仿宋_GB2312" w:hAnsi="仿宋_GB2312" w:eastAsia="仿宋_GB2312" w:cs="仿宋_GB2312"/>
          <w:color w:val="000000"/>
          <w:kern w:val="0"/>
          <w:sz w:val="32"/>
          <w:szCs w:val="32"/>
        </w:rPr>
      </w:pPr>
      <w:bookmarkStart w:id="42" w:name="_Toc15396614"/>
      <w:bookmarkStart w:id="43" w:name="_Toc15377226"/>
      <w:r>
        <w:rPr>
          <w:rFonts w:hint="eastAsia" w:ascii="仿宋_GB2312" w:hAnsi="仿宋_GB2312" w:eastAsia="仿宋_GB2312" w:cs="仿宋_GB2312"/>
          <w:color w:val="000000"/>
          <w:kern w:val="0"/>
          <w:sz w:val="32"/>
          <w:szCs w:val="32"/>
        </w:rPr>
        <w:t>财政拨款收入：指单位从同级财政部门取得的财政预算资金。</w:t>
      </w:r>
    </w:p>
    <w:p>
      <w:pPr>
        <w:numPr>
          <w:ilvl w:val="0"/>
          <w:numId w:val="5"/>
        </w:numPr>
        <w:spacing w:beforeLines="0" w:afterLines="0"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其他收入：指单位取得的除上述收入以外的各项收入。 </w:t>
      </w:r>
    </w:p>
    <w:p>
      <w:pPr>
        <w:numPr>
          <w:ilvl w:val="0"/>
          <w:numId w:val="5"/>
        </w:numPr>
        <w:spacing w:beforeLines="0" w:afterLines="0"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公共安全（类）法院（款）行政运行（项）：指法院（包括各专门法院）的支出。指行政单位（包括实行公务员管理的事业单位）的基本支出。</w:t>
      </w:r>
    </w:p>
    <w:p>
      <w:pPr>
        <w:numPr>
          <w:ilvl w:val="0"/>
          <w:numId w:val="5"/>
        </w:numPr>
        <w:spacing w:beforeLines="0" w:afterLines="0"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公共安全（类）法院（款）案件审判（项）：指人民法院对刑事、民事、行政、涉外等案件审判活动的支出。</w:t>
      </w:r>
    </w:p>
    <w:p>
      <w:pPr>
        <w:numPr>
          <w:ilvl w:val="0"/>
          <w:numId w:val="5"/>
        </w:numPr>
        <w:spacing w:beforeLines="0" w:afterLines="0"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公共安全（类）法院（款）案件执行（项）：指人民法院对刑事、民事、行政、涉外等案件执行活动和对各种非诉执行活动的支出。</w:t>
      </w:r>
    </w:p>
    <w:p>
      <w:pPr>
        <w:numPr>
          <w:ilvl w:val="0"/>
          <w:numId w:val="5"/>
        </w:numPr>
        <w:spacing w:beforeLines="0" w:afterLines="0" w:line="580" w:lineRule="exact"/>
        <w:rPr>
          <w:rFonts w:hint="default"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公共安全（类）法院（款）其他法院支出（项）：反映除上述项目以外其他用于法院方面的支出。</w:t>
      </w:r>
    </w:p>
    <w:p>
      <w:pPr>
        <w:numPr>
          <w:ilvl w:val="0"/>
          <w:numId w:val="5"/>
        </w:numPr>
        <w:spacing w:beforeLines="0" w:afterLines="0"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社会保障和就业</w:t>
      </w:r>
      <w:r>
        <w:rPr>
          <w:rFonts w:hint="eastAsia"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类)行政事业单位养老支出（款）机关事业单位基本养老保险缴费支出（项）：指单位基本养老保险缴费支出。</w:t>
      </w:r>
    </w:p>
    <w:p>
      <w:pPr>
        <w:numPr>
          <w:ilvl w:val="0"/>
          <w:numId w:val="5"/>
        </w:numPr>
        <w:spacing w:beforeLines="0" w:afterLines="0"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卫生健康支出（类）行政事业单位医疗（款）行政单位医疗（项）：指单位基本医疗保险缴费支出。</w:t>
      </w:r>
    </w:p>
    <w:p>
      <w:pPr>
        <w:numPr>
          <w:ilvl w:val="0"/>
          <w:numId w:val="5"/>
        </w:numPr>
        <w:spacing w:beforeLines="0" w:afterLines="0"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农林水支出（类）巩固脱贫攻坚成果衔接乡村振兴（款）其他巩固脱贫攻坚成果衔接乡村振兴支出（项）：反应用于农村（包括国有农场、国有林场）巩固拓展脱贫攻坚成果同乡村振兴有效衔接等方面的支出。</w:t>
      </w:r>
    </w:p>
    <w:p>
      <w:pPr>
        <w:numPr>
          <w:ilvl w:val="0"/>
          <w:numId w:val="5"/>
        </w:numPr>
        <w:spacing w:beforeLines="0" w:afterLines="0"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住房保障（类）住房改革支出（款）住房公积金（项）：指职工缴纳的住房公积金支出。</w:t>
      </w:r>
    </w:p>
    <w:p>
      <w:pPr>
        <w:numPr>
          <w:ilvl w:val="0"/>
          <w:numId w:val="5"/>
        </w:numPr>
        <w:spacing w:beforeLines="0" w:afterLines="0"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基本支出：指为保障机构正常运转、完成日常工作任务而发生的人员支出和公用支出。</w:t>
      </w:r>
    </w:p>
    <w:p>
      <w:pPr>
        <w:numPr>
          <w:ilvl w:val="0"/>
          <w:numId w:val="5"/>
        </w:numPr>
        <w:spacing w:beforeLines="0" w:afterLines="0" w:line="580" w:lineRule="exac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项目支出：指在基本支出之外为完成特定行政任务和事业发展目标所发生的支出。 </w:t>
      </w:r>
    </w:p>
    <w:p>
      <w:pPr>
        <w:numPr>
          <w:ilvl w:val="0"/>
          <w:numId w:val="5"/>
        </w:numPr>
        <w:spacing w:beforeLines="0" w:afterLines="0" w:line="580" w:lineRule="exact"/>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numPr>
          <w:ilvl w:val="0"/>
          <w:numId w:val="5"/>
        </w:numPr>
        <w:spacing w:beforeLines="0" w:afterLines="0" w:line="580" w:lineRule="exact"/>
        <w:rPr>
          <w:rFonts w:hint="eastAsia" w:ascii="仿宋_GB2312" w:hAnsi="仿宋_GB2312" w:eastAsia="仿宋_GB2312" w:cs="仿宋_GB2312"/>
          <w:b/>
          <w:sz w:val="44"/>
          <w:szCs w:val="44"/>
          <w:lang w:val="en-US" w:eastAsia="zh-CN"/>
        </w:rPr>
      </w:pPr>
      <w:r>
        <w:rPr>
          <w:rFonts w:hint="eastAsia" w:ascii="仿宋_GB2312" w:hAnsi="仿宋_GB2312" w:eastAsia="仿宋_GB2312" w:cs="仿宋_GB2312"/>
          <w:color w:val="000000"/>
          <w:kern w:val="0"/>
          <w:sz w:val="32"/>
          <w:szCs w:val="32"/>
        </w:rPr>
        <w:t>机关运行经费：为保障行政单位（含参照公务员法管理的事业单位）运行用于购买货物和服务的各项资金，包括办公及印刷费、邮电费、差旅费、会议费、福利费、日常维修费、一般设备购置费、办公用房水电费、办公用房物业管理费、公务用车运行维护费以及其他费用。</w:t>
      </w:r>
      <w:r>
        <w:rPr>
          <w:rFonts w:hint="eastAsia" w:ascii="仿宋_GB2312" w:hAnsi="仿宋_GB2312" w:eastAsia="仿宋_GB2312" w:cs="仿宋_GB2312"/>
          <w:color w:val="000000"/>
          <w:kern w:val="0"/>
          <w:sz w:val="32"/>
          <w:szCs w:val="32"/>
        </w:rPr>
        <w:br w:type="page"/>
      </w:r>
      <w:r>
        <w:rPr>
          <w:rFonts w:hint="eastAsia" w:ascii="仿宋_GB2312" w:hAnsi="仿宋_GB2312" w:eastAsia="仿宋_GB2312" w:cs="仿宋_GB2312"/>
          <w:b/>
          <w:sz w:val="44"/>
          <w:szCs w:val="44"/>
          <w:lang w:val="en-US" w:eastAsia="zh-CN"/>
        </w:rPr>
        <w:t xml:space="preserve">    </w:t>
      </w:r>
      <w:r>
        <w:rPr>
          <w:rFonts w:hint="eastAsia" w:hAnsi="仿宋_GB2312" w:eastAsia="仿宋_GB2312" w:cs="仿宋_GB2312"/>
          <w:b/>
          <w:sz w:val="44"/>
          <w:szCs w:val="44"/>
          <w:lang w:val="en-US" w:eastAsia="zh-CN"/>
        </w:rPr>
        <w:t xml:space="preserve">         </w:t>
      </w:r>
      <w:r>
        <w:rPr>
          <w:rFonts w:hint="eastAsia" w:ascii="仿宋_GB2312" w:hAnsi="仿宋_GB2312" w:eastAsia="仿宋_GB2312" w:cs="仿宋_GB2312"/>
          <w:b/>
          <w:sz w:val="44"/>
          <w:szCs w:val="44"/>
          <w:lang w:val="en-US" w:eastAsia="zh-CN"/>
        </w:rPr>
        <w:t xml:space="preserve"> </w:t>
      </w:r>
      <w:r>
        <w:rPr>
          <w:rFonts w:hint="eastAsia" w:ascii="黑体" w:hAnsi="黑体" w:eastAsia="黑体"/>
          <w:color w:val="auto"/>
          <w:sz w:val="44"/>
          <w:szCs w:val="44"/>
          <w:highlight w:val="none"/>
        </w:rPr>
        <w:t>第</w:t>
      </w:r>
      <w:r>
        <w:rPr>
          <w:rStyle w:val="20"/>
          <w:rFonts w:hint="eastAsia" w:ascii="黑体" w:hAnsi="黑体" w:eastAsia="黑体"/>
          <w:b w:val="0"/>
          <w:color w:val="auto"/>
          <w:highlight w:val="none"/>
        </w:rPr>
        <w:t>四部分 附件</w:t>
      </w:r>
    </w:p>
    <w:bookmarkEnd w:id="42"/>
    <w:tbl>
      <w:tblPr>
        <w:tblStyle w:val="16"/>
        <w:tblW w:w="10507" w:type="dxa"/>
        <w:jc w:val="center"/>
        <w:tblLayout w:type="autofit"/>
        <w:tblCellMar>
          <w:top w:w="0" w:type="dxa"/>
          <w:left w:w="108" w:type="dxa"/>
          <w:bottom w:w="0" w:type="dxa"/>
          <w:right w:w="108" w:type="dxa"/>
        </w:tblCellMar>
      </w:tblPr>
      <w:tblGrid>
        <w:gridCol w:w="756"/>
        <w:gridCol w:w="1289"/>
        <w:gridCol w:w="1277"/>
        <w:gridCol w:w="1655"/>
        <w:gridCol w:w="578"/>
        <w:gridCol w:w="875"/>
        <w:gridCol w:w="577"/>
        <w:gridCol w:w="986"/>
        <w:gridCol w:w="562"/>
        <w:gridCol w:w="732"/>
        <w:gridCol w:w="1220"/>
      </w:tblGrid>
      <w:tr>
        <w:tblPrEx>
          <w:tblCellMar>
            <w:top w:w="0" w:type="dxa"/>
            <w:left w:w="108" w:type="dxa"/>
            <w:bottom w:w="0" w:type="dxa"/>
            <w:right w:w="108" w:type="dxa"/>
          </w:tblCellMar>
        </w:tblPrEx>
        <w:trPr>
          <w:trHeight w:val="233" w:hRule="atLeast"/>
          <w:jc w:val="center"/>
        </w:trPr>
        <w:tc>
          <w:tcPr>
            <w:tcW w:w="10507"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黑体" w:hAnsi="宋体" w:eastAsia="黑体" w:cs="黑体"/>
                <w:b/>
                <w:bCs/>
                <w:color w:val="FF0000"/>
                <w:sz w:val="30"/>
                <w:szCs w:val="30"/>
              </w:rPr>
            </w:pPr>
            <w:bookmarkStart w:id="44" w:name="_Toc15396618"/>
            <w:r>
              <w:rPr>
                <w:rFonts w:hint="eastAsia" w:ascii="黑体" w:hAnsi="黑体" w:eastAsia="黑体" w:cs="黑体"/>
                <w:b/>
                <w:bCs/>
                <w:color w:val="auto"/>
                <w:kern w:val="0"/>
                <w:sz w:val="30"/>
                <w:szCs w:val="30"/>
                <w:lang w:eastAsia="zh-CN"/>
              </w:rPr>
              <w:t>部门</w:t>
            </w:r>
            <w:r>
              <w:rPr>
                <w:rFonts w:hint="eastAsia" w:ascii="黑体" w:hAnsi="黑体" w:eastAsia="黑体" w:cs="黑体"/>
                <w:b/>
                <w:bCs/>
                <w:color w:val="auto"/>
                <w:kern w:val="0"/>
                <w:sz w:val="30"/>
                <w:szCs w:val="30"/>
              </w:rPr>
              <w:t>预算项目支出绩效自评表（2023年度）</w:t>
            </w:r>
          </w:p>
        </w:tc>
      </w:tr>
      <w:tr>
        <w:tblPrEx>
          <w:tblCellMar>
            <w:top w:w="0" w:type="dxa"/>
            <w:left w:w="108" w:type="dxa"/>
            <w:bottom w:w="0" w:type="dxa"/>
            <w:right w:w="108" w:type="dxa"/>
          </w:tblCellMar>
        </w:tblPrEx>
        <w:trPr>
          <w:trHeight w:val="91" w:hRule="atLeast"/>
          <w:jc w:val="center"/>
        </w:trPr>
        <w:tc>
          <w:tcPr>
            <w:tcW w:w="20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846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51080022T000005055925-加班补助</w:t>
            </w:r>
          </w:p>
        </w:tc>
      </w:tr>
      <w:tr>
        <w:tblPrEx>
          <w:tblCellMar>
            <w:top w:w="0" w:type="dxa"/>
            <w:left w:w="108" w:type="dxa"/>
            <w:bottom w:w="0" w:type="dxa"/>
            <w:right w:w="108" w:type="dxa"/>
          </w:tblCellMar>
        </w:tblPrEx>
        <w:trPr>
          <w:trHeight w:val="165" w:hRule="atLeast"/>
          <w:jc w:val="center"/>
        </w:trPr>
        <w:tc>
          <w:tcPr>
            <w:tcW w:w="20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8"/>
                <w:szCs w:val="18"/>
                <w:lang w:eastAsia="zh-CN"/>
              </w:rPr>
            </w:pPr>
            <w:r>
              <w:rPr>
                <w:rFonts w:ascii="宋体" w:hAnsi="宋体" w:cs="宋体"/>
                <w:color w:val="000000"/>
                <w:kern w:val="0"/>
                <w:sz w:val="18"/>
                <w:szCs w:val="18"/>
              </w:rPr>
              <w:t>主管</w:t>
            </w:r>
            <w:r>
              <w:rPr>
                <w:rFonts w:hint="eastAsia" w:ascii="宋体" w:hAnsi="宋体" w:cs="宋体"/>
                <w:color w:val="000000"/>
                <w:kern w:val="0"/>
                <w:sz w:val="18"/>
                <w:szCs w:val="18"/>
                <w:lang w:eastAsia="zh-CN"/>
              </w:rPr>
              <w:t>单位</w:t>
            </w:r>
          </w:p>
        </w:tc>
        <w:tc>
          <w:tcPr>
            <w:tcW w:w="49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8"/>
                <w:szCs w:val="18"/>
                <w:lang w:eastAsia="zh-CN"/>
              </w:rPr>
            </w:pPr>
            <w:r>
              <w:rPr>
                <w:rFonts w:ascii="宋体" w:hAnsi="宋体" w:cs="宋体"/>
                <w:color w:val="000000"/>
                <w:kern w:val="0"/>
                <w:sz w:val="18"/>
                <w:szCs w:val="18"/>
              </w:rPr>
              <w:t>苍溪县人民法院</w:t>
            </w:r>
            <w:r>
              <w:rPr>
                <w:rFonts w:hint="eastAsia" w:ascii="宋体" w:hAnsi="宋体" w:cs="宋体"/>
                <w:color w:val="000000"/>
                <w:kern w:val="0"/>
                <w:sz w:val="18"/>
                <w:szCs w:val="18"/>
                <w:lang w:eastAsia="zh-CN"/>
              </w:rPr>
              <w:t>单位</w:t>
            </w:r>
          </w:p>
        </w:tc>
        <w:tc>
          <w:tcPr>
            <w:tcW w:w="986" w:type="dxa"/>
            <w:tcBorders>
              <w:top w:val="nil"/>
              <w:left w:val="nil"/>
              <w:bottom w:val="nil"/>
              <w:right w:val="nil"/>
            </w:tcBorders>
            <w:shd w:val="clear" w:color="auto" w:fill="auto"/>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51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苍溪县人民法院</w:t>
            </w:r>
          </w:p>
        </w:tc>
      </w:tr>
      <w:tr>
        <w:tblPrEx>
          <w:tblCellMar>
            <w:top w:w="0" w:type="dxa"/>
            <w:left w:w="108" w:type="dxa"/>
            <w:bottom w:w="0" w:type="dxa"/>
            <w:right w:w="108" w:type="dxa"/>
          </w:tblCellMar>
        </w:tblPrEx>
        <w:trPr>
          <w:trHeight w:val="91" w:hRule="atLeast"/>
          <w:jc w:val="center"/>
        </w:trPr>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2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9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5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blPrEx>
          <w:tblCellMar>
            <w:top w:w="0" w:type="dxa"/>
            <w:left w:w="108" w:type="dxa"/>
            <w:bottom w:w="0" w:type="dxa"/>
            <w:right w:w="108" w:type="dxa"/>
          </w:tblCellMar>
        </w:tblPrEx>
        <w:trPr>
          <w:trHeight w:val="227" w:hRule="atLeast"/>
          <w:jc w:val="center"/>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12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49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发放法警人员加班补助，提高干警工作效率。</w:t>
            </w:r>
          </w:p>
        </w:tc>
        <w:tc>
          <w:tcPr>
            <w:tcW w:w="350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加班补助全部发放到位。</w:t>
            </w:r>
          </w:p>
        </w:tc>
      </w:tr>
      <w:tr>
        <w:tblPrEx>
          <w:tblCellMar>
            <w:top w:w="0" w:type="dxa"/>
            <w:left w:w="108" w:type="dxa"/>
            <w:bottom w:w="0" w:type="dxa"/>
            <w:right w:w="108" w:type="dxa"/>
          </w:tblCellMar>
        </w:tblPrEx>
        <w:trPr>
          <w:trHeight w:val="222" w:hRule="atLeast"/>
          <w:jc w:val="center"/>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846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114" w:hRule="atLeast"/>
          <w:jc w:val="center"/>
        </w:trPr>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110" w:hRule="atLeast"/>
          <w:jc w:val="center"/>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0.88</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0.88</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0.88</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2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125" w:hRule="atLeast"/>
          <w:jc w:val="center"/>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0.88</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0.88</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0.88</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130" w:hRule="atLeast"/>
          <w:jc w:val="center"/>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114" w:hRule="atLeast"/>
          <w:jc w:val="center"/>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107" w:hRule="atLeast"/>
          <w:jc w:val="center"/>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145" w:hRule="atLeast"/>
          <w:jc w:val="center"/>
        </w:trPr>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18"/>
                <w:szCs w:val="18"/>
              </w:rPr>
            </w:pPr>
            <w:r>
              <w:rPr>
                <w:rFonts w:ascii="宋体" w:hAnsi="宋体" w:cs="宋体"/>
                <w:color w:val="000000"/>
                <w:kern w:val="0"/>
                <w:sz w:val="18"/>
                <w:szCs w:val="18"/>
              </w:rPr>
              <w:t>未完成</w:t>
            </w:r>
          </w:p>
          <w:p>
            <w:pPr>
              <w:widowControl/>
              <w:jc w:val="center"/>
              <w:textAlignment w:val="center"/>
              <w:rPr>
                <w:rFonts w:ascii="宋体" w:hAnsi="宋体" w:cs="宋体"/>
                <w:color w:val="000000"/>
                <w:sz w:val="18"/>
                <w:szCs w:val="18"/>
              </w:rPr>
            </w:pPr>
            <w:r>
              <w:rPr>
                <w:rFonts w:ascii="宋体" w:hAnsi="宋体" w:cs="宋体"/>
                <w:color w:val="000000"/>
                <w:kern w:val="0"/>
                <w:sz w:val="18"/>
                <w:szCs w:val="18"/>
              </w:rPr>
              <w:t>原因分析</w:t>
            </w:r>
          </w:p>
        </w:tc>
      </w:tr>
      <w:tr>
        <w:tblPrEx>
          <w:tblCellMar>
            <w:top w:w="0" w:type="dxa"/>
            <w:left w:w="108" w:type="dxa"/>
            <w:bottom w:w="0" w:type="dxa"/>
            <w:right w:w="108" w:type="dxa"/>
          </w:tblCellMar>
        </w:tblPrEx>
        <w:trPr>
          <w:trHeight w:val="107" w:hRule="atLeast"/>
          <w:jc w:val="center"/>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2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发放加班补助人数</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8</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8</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107" w:hRule="atLeast"/>
          <w:jc w:val="center"/>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2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保障干警工作效率</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107" w:hRule="atLeast"/>
          <w:jc w:val="center"/>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2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完成时间</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2023</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2023</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107" w:hRule="atLeast"/>
          <w:jc w:val="center"/>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社会影响力</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107" w:hRule="atLeast"/>
          <w:jc w:val="center"/>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干警满意度</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107" w:hRule="atLeast"/>
          <w:jc w:val="center"/>
        </w:trPr>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16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所需成本</w:t>
            </w:r>
          </w:p>
        </w:tc>
        <w:tc>
          <w:tcPr>
            <w:tcW w:w="5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0.9</w:t>
            </w:r>
          </w:p>
        </w:tc>
        <w:tc>
          <w:tcPr>
            <w:tcW w:w="5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万</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0.9</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91" w:hRule="atLeast"/>
          <w:jc w:val="center"/>
        </w:trPr>
        <w:tc>
          <w:tcPr>
            <w:tcW w:w="799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193" w:hRule="atLeast"/>
          <w:jc w:val="center"/>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7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2023年加班补助项目实施较好，拨款0.88万，支付0.88万，完成执行进度100%。申报内容与实际相符，申报目标绩效合理可行,严格按照绩效指标值进行实施。</w:t>
            </w:r>
          </w:p>
        </w:tc>
      </w:tr>
      <w:tr>
        <w:tblPrEx>
          <w:tblCellMar>
            <w:top w:w="0" w:type="dxa"/>
            <w:left w:w="108" w:type="dxa"/>
            <w:bottom w:w="0" w:type="dxa"/>
            <w:right w:w="108" w:type="dxa"/>
          </w:tblCellMar>
        </w:tblPrEx>
        <w:trPr>
          <w:trHeight w:val="183" w:hRule="atLeast"/>
          <w:jc w:val="center"/>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7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tblPrEx>
          <w:tblCellMar>
            <w:top w:w="0" w:type="dxa"/>
            <w:left w:w="108" w:type="dxa"/>
            <w:bottom w:w="0" w:type="dxa"/>
            <w:right w:w="108" w:type="dxa"/>
          </w:tblCellMar>
        </w:tblPrEx>
        <w:trPr>
          <w:trHeight w:val="202" w:hRule="atLeast"/>
          <w:jc w:val="center"/>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75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tblPrEx>
          <w:tblCellMar>
            <w:top w:w="0" w:type="dxa"/>
            <w:left w:w="108" w:type="dxa"/>
            <w:bottom w:w="0" w:type="dxa"/>
            <w:right w:w="108" w:type="dxa"/>
          </w:tblCellMar>
        </w:tblPrEx>
        <w:trPr>
          <w:trHeight w:val="91" w:hRule="atLeast"/>
          <w:jc w:val="center"/>
        </w:trPr>
        <w:tc>
          <w:tcPr>
            <w:tcW w:w="55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项目负责人：陈萍</w:t>
            </w:r>
          </w:p>
        </w:tc>
        <w:tc>
          <w:tcPr>
            <w:tcW w:w="495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财务负责人：李锦桦</w:t>
            </w:r>
          </w:p>
        </w:tc>
      </w:tr>
    </w:tbl>
    <w:p>
      <w:r>
        <w:br w:type="page"/>
      </w:r>
    </w:p>
    <w:tbl>
      <w:tblPr>
        <w:tblStyle w:val="16"/>
        <w:tblW w:w="10629" w:type="dxa"/>
        <w:jc w:val="center"/>
        <w:tblLayout w:type="autofit"/>
        <w:tblCellMar>
          <w:top w:w="0" w:type="dxa"/>
          <w:left w:w="108" w:type="dxa"/>
          <w:bottom w:w="0" w:type="dxa"/>
          <w:right w:w="108" w:type="dxa"/>
        </w:tblCellMar>
      </w:tblPr>
      <w:tblGrid>
        <w:gridCol w:w="969"/>
        <w:gridCol w:w="1422"/>
        <w:gridCol w:w="1139"/>
        <w:gridCol w:w="1195"/>
        <w:gridCol w:w="735"/>
        <w:gridCol w:w="735"/>
        <w:gridCol w:w="751"/>
        <w:gridCol w:w="979"/>
        <w:gridCol w:w="563"/>
        <w:gridCol w:w="682"/>
        <w:gridCol w:w="1459"/>
      </w:tblGrid>
      <w:tr>
        <w:tblPrEx>
          <w:tblCellMar>
            <w:top w:w="0" w:type="dxa"/>
            <w:left w:w="108" w:type="dxa"/>
            <w:bottom w:w="0" w:type="dxa"/>
            <w:right w:w="108" w:type="dxa"/>
          </w:tblCellMar>
        </w:tblPrEx>
        <w:trPr>
          <w:trHeight w:val="73" w:hRule="atLeast"/>
          <w:jc w:val="center"/>
        </w:trPr>
        <w:tc>
          <w:tcPr>
            <w:tcW w:w="969" w:type="dxa"/>
            <w:tcBorders>
              <w:top w:val="nil"/>
              <w:left w:val="nil"/>
              <w:bottom w:val="nil"/>
              <w:right w:val="nil"/>
            </w:tcBorders>
            <w:shd w:val="clear" w:color="auto" w:fill="auto"/>
            <w:vAlign w:val="center"/>
          </w:tcPr>
          <w:p>
            <w:pPr>
              <w:rPr>
                <w:rFonts w:ascii="宋体" w:hAnsi="宋体" w:cs="宋体"/>
                <w:color w:val="000000"/>
                <w:sz w:val="18"/>
                <w:szCs w:val="18"/>
              </w:rPr>
            </w:pPr>
          </w:p>
        </w:tc>
        <w:tc>
          <w:tcPr>
            <w:tcW w:w="1422" w:type="dxa"/>
            <w:tcBorders>
              <w:top w:val="nil"/>
              <w:left w:val="nil"/>
              <w:bottom w:val="nil"/>
              <w:right w:val="nil"/>
            </w:tcBorders>
            <w:shd w:val="clear" w:color="auto" w:fill="auto"/>
            <w:vAlign w:val="center"/>
          </w:tcPr>
          <w:p>
            <w:pPr>
              <w:rPr>
                <w:rFonts w:ascii="宋体" w:hAnsi="宋体" w:cs="宋体"/>
                <w:color w:val="000000"/>
                <w:sz w:val="18"/>
                <w:szCs w:val="18"/>
              </w:rPr>
            </w:pPr>
          </w:p>
        </w:tc>
        <w:tc>
          <w:tcPr>
            <w:tcW w:w="1139" w:type="dxa"/>
            <w:tcBorders>
              <w:top w:val="nil"/>
              <w:left w:val="nil"/>
              <w:bottom w:val="nil"/>
              <w:right w:val="nil"/>
            </w:tcBorders>
            <w:shd w:val="clear" w:color="auto" w:fill="auto"/>
            <w:vAlign w:val="center"/>
          </w:tcPr>
          <w:p>
            <w:pPr>
              <w:rPr>
                <w:rFonts w:ascii="宋体" w:hAnsi="宋体" w:cs="宋体"/>
                <w:color w:val="000000"/>
                <w:sz w:val="18"/>
                <w:szCs w:val="18"/>
              </w:rPr>
            </w:pPr>
          </w:p>
        </w:tc>
        <w:tc>
          <w:tcPr>
            <w:tcW w:w="1195" w:type="dxa"/>
            <w:tcBorders>
              <w:top w:val="nil"/>
              <w:left w:val="nil"/>
              <w:bottom w:val="nil"/>
              <w:right w:val="nil"/>
            </w:tcBorders>
            <w:shd w:val="clear" w:color="auto" w:fill="auto"/>
            <w:vAlign w:val="center"/>
          </w:tcPr>
          <w:p>
            <w:pPr>
              <w:rPr>
                <w:rFonts w:ascii="宋体" w:hAnsi="宋体" w:cs="宋体"/>
                <w:color w:val="000000"/>
                <w:sz w:val="18"/>
                <w:szCs w:val="18"/>
              </w:rPr>
            </w:pPr>
          </w:p>
        </w:tc>
        <w:tc>
          <w:tcPr>
            <w:tcW w:w="735" w:type="dxa"/>
            <w:tcBorders>
              <w:top w:val="nil"/>
              <w:left w:val="nil"/>
              <w:bottom w:val="nil"/>
              <w:right w:val="nil"/>
            </w:tcBorders>
            <w:shd w:val="clear" w:color="auto" w:fill="auto"/>
            <w:vAlign w:val="center"/>
          </w:tcPr>
          <w:p>
            <w:pPr>
              <w:rPr>
                <w:rFonts w:ascii="宋体" w:hAnsi="宋体" w:cs="宋体"/>
                <w:color w:val="000000"/>
                <w:sz w:val="18"/>
                <w:szCs w:val="18"/>
              </w:rPr>
            </w:pPr>
          </w:p>
        </w:tc>
        <w:tc>
          <w:tcPr>
            <w:tcW w:w="735" w:type="dxa"/>
            <w:tcBorders>
              <w:top w:val="nil"/>
              <w:left w:val="nil"/>
              <w:bottom w:val="nil"/>
              <w:right w:val="nil"/>
            </w:tcBorders>
            <w:shd w:val="clear" w:color="auto" w:fill="auto"/>
            <w:vAlign w:val="center"/>
          </w:tcPr>
          <w:p>
            <w:pPr>
              <w:rPr>
                <w:rFonts w:ascii="宋体" w:hAnsi="宋体" w:cs="宋体"/>
                <w:color w:val="000000"/>
                <w:sz w:val="18"/>
                <w:szCs w:val="18"/>
              </w:rPr>
            </w:pPr>
          </w:p>
        </w:tc>
        <w:tc>
          <w:tcPr>
            <w:tcW w:w="751" w:type="dxa"/>
            <w:tcBorders>
              <w:top w:val="nil"/>
              <w:left w:val="nil"/>
              <w:bottom w:val="nil"/>
              <w:right w:val="nil"/>
            </w:tcBorders>
            <w:shd w:val="clear" w:color="auto" w:fill="auto"/>
            <w:vAlign w:val="center"/>
          </w:tcPr>
          <w:p>
            <w:pPr>
              <w:rPr>
                <w:rFonts w:ascii="宋体" w:hAnsi="宋体" w:cs="宋体"/>
                <w:color w:val="000000"/>
                <w:sz w:val="18"/>
                <w:szCs w:val="18"/>
              </w:rPr>
            </w:pPr>
          </w:p>
        </w:tc>
        <w:tc>
          <w:tcPr>
            <w:tcW w:w="979" w:type="dxa"/>
            <w:tcBorders>
              <w:top w:val="nil"/>
              <w:left w:val="nil"/>
              <w:bottom w:val="nil"/>
              <w:right w:val="nil"/>
            </w:tcBorders>
            <w:shd w:val="clear" w:color="auto" w:fill="auto"/>
            <w:vAlign w:val="center"/>
          </w:tcPr>
          <w:p>
            <w:pPr>
              <w:rPr>
                <w:rFonts w:ascii="宋体" w:hAnsi="宋体" w:cs="宋体"/>
                <w:color w:val="000000"/>
                <w:sz w:val="18"/>
                <w:szCs w:val="18"/>
              </w:rPr>
            </w:pPr>
          </w:p>
        </w:tc>
        <w:tc>
          <w:tcPr>
            <w:tcW w:w="563" w:type="dxa"/>
            <w:tcBorders>
              <w:top w:val="nil"/>
              <w:left w:val="nil"/>
              <w:bottom w:val="nil"/>
              <w:right w:val="nil"/>
            </w:tcBorders>
            <w:shd w:val="clear" w:color="auto" w:fill="auto"/>
            <w:vAlign w:val="center"/>
          </w:tcPr>
          <w:p>
            <w:pPr>
              <w:rPr>
                <w:rFonts w:ascii="宋体" w:hAnsi="宋体" w:cs="宋体"/>
                <w:color w:val="000000"/>
                <w:sz w:val="18"/>
                <w:szCs w:val="18"/>
              </w:rPr>
            </w:pPr>
          </w:p>
        </w:tc>
        <w:tc>
          <w:tcPr>
            <w:tcW w:w="682" w:type="dxa"/>
            <w:tcBorders>
              <w:top w:val="nil"/>
              <w:left w:val="nil"/>
              <w:bottom w:val="nil"/>
              <w:right w:val="nil"/>
            </w:tcBorders>
            <w:shd w:val="clear" w:color="auto" w:fill="auto"/>
            <w:vAlign w:val="center"/>
          </w:tcPr>
          <w:p>
            <w:pPr>
              <w:rPr>
                <w:rFonts w:ascii="宋体" w:hAnsi="宋体" w:cs="宋体"/>
                <w:color w:val="000000"/>
                <w:sz w:val="18"/>
                <w:szCs w:val="18"/>
              </w:rPr>
            </w:pPr>
          </w:p>
        </w:tc>
        <w:tc>
          <w:tcPr>
            <w:tcW w:w="1459" w:type="dxa"/>
            <w:tcBorders>
              <w:top w:val="nil"/>
              <w:left w:val="nil"/>
              <w:bottom w:val="nil"/>
              <w:right w:val="nil"/>
            </w:tcBorders>
            <w:shd w:val="clear" w:color="auto" w:fill="auto"/>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trHeight w:val="231" w:hRule="atLeast"/>
          <w:jc w:val="center"/>
        </w:trPr>
        <w:tc>
          <w:tcPr>
            <w:tcW w:w="10629"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黑体" w:hAnsi="宋体" w:eastAsia="黑体" w:cs="黑体"/>
                <w:b/>
                <w:bCs/>
                <w:color w:val="FF0000"/>
                <w:sz w:val="30"/>
                <w:szCs w:val="30"/>
              </w:rPr>
            </w:pPr>
            <w:r>
              <w:rPr>
                <w:rFonts w:hint="eastAsia" w:ascii="黑体" w:hAnsi="宋体" w:eastAsia="黑体" w:cs="黑体"/>
                <w:b/>
                <w:bCs/>
                <w:color w:val="auto"/>
                <w:kern w:val="0"/>
                <w:sz w:val="30"/>
                <w:szCs w:val="30"/>
                <w:lang w:eastAsia="zh-CN"/>
              </w:rPr>
              <w:t>部门</w:t>
            </w:r>
            <w:r>
              <w:rPr>
                <w:rFonts w:hint="eastAsia" w:ascii="黑体" w:hAnsi="宋体" w:eastAsia="黑体" w:cs="黑体"/>
                <w:b/>
                <w:bCs/>
                <w:color w:val="auto"/>
                <w:kern w:val="0"/>
                <w:sz w:val="30"/>
                <w:szCs w:val="30"/>
              </w:rPr>
              <w:t>预算项目支出绩效自评表（2023年度）</w:t>
            </w:r>
          </w:p>
        </w:tc>
      </w:tr>
      <w:tr>
        <w:tblPrEx>
          <w:tblCellMar>
            <w:top w:w="0" w:type="dxa"/>
            <w:left w:w="108" w:type="dxa"/>
            <w:bottom w:w="0" w:type="dxa"/>
            <w:right w:w="108" w:type="dxa"/>
          </w:tblCellMar>
        </w:tblPrEx>
        <w:trPr>
          <w:trHeight w:val="73" w:hRule="atLeast"/>
          <w:jc w:val="center"/>
        </w:trPr>
        <w:tc>
          <w:tcPr>
            <w:tcW w:w="23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823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80" w:lineRule="exact"/>
              <w:jc w:val="left"/>
              <w:textAlignment w:val="center"/>
              <w:rPr>
                <w:rFonts w:ascii="宋体" w:hAnsi="宋体" w:cs="宋体"/>
                <w:color w:val="000000"/>
                <w:sz w:val="18"/>
                <w:szCs w:val="18"/>
              </w:rPr>
            </w:pPr>
            <w:r>
              <w:rPr>
                <w:rFonts w:ascii="宋体" w:hAnsi="宋体" w:cs="宋体"/>
                <w:color w:val="000000"/>
                <w:kern w:val="0"/>
                <w:sz w:val="18"/>
                <w:szCs w:val="18"/>
              </w:rPr>
              <w:t>51080023T000008430588-聘用制书记员经费</w:t>
            </w:r>
          </w:p>
        </w:tc>
      </w:tr>
      <w:tr>
        <w:tblPrEx>
          <w:tblCellMar>
            <w:top w:w="0" w:type="dxa"/>
            <w:left w:w="108" w:type="dxa"/>
            <w:bottom w:w="0" w:type="dxa"/>
            <w:right w:w="108" w:type="dxa"/>
          </w:tblCellMar>
        </w:tblPrEx>
        <w:trPr>
          <w:trHeight w:val="132" w:hRule="atLeast"/>
          <w:jc w:val="center"/>
        </w:trPr>
        <w:tc>
          <w:tcPr>
            <w:tcW w:w="23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8"/>
                <w:szCs w:val="18"/>
                <w:lang w:eastAsia="zh-CN"/>
              </w:rPr>
            </w:pPr>
            <w:r>
              <w:rPr>
                <w:rFonts w:ascii="宋体" w:hAnsi="宋体" w:cs="宋体"/>
                <w:color w:val="000000"/>
                <w:kern w:val="0"/>
                <w:sz w:val="18"/>
                <w:szCs w:val="18"/>
              </w:rPr>
              <w:t>主管</w:t>
            </w:r>
            <w:r>
              <w:rPr>
                <w:rFonts w:hint="eastAsia" w:ascii="宋体" w:hAnsi="宋体" w:cs="宋体"/>
                <w:color w:val="000000"/>
                <w:kern w:val="0"/>
                <w:sz w:val="18"/>
                <w:szCs w:val="18"/>
                <w:lang w:eastAsia="zh-CN"/>
              </w:rPr>
              <w:t>单位</w:t>
            </w:r>
          </w:p>
        </w:tc>
        <w:tc>
          <w:tcPr>
            <w:tcW w:w="45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left"/>
              <w:textAlignment w:val="center"/>
              <w:rPr>
                <w:rFonts w:hint="eastAsia" w:ascii="宋体" w:hAnsi="宋体" w:eastAsia="宋体" w:cs="宋体"/>
                <w:color w:val="000000"/>
                <w:sz w:val="18"/>
                <w:szCs w:val="18"/>
                <w:lang w:eastAsia="zh-CN"/>
              </w:rPr>
            </w:pPr>
            <w:r>
              <w:rPr>
                <w:rFonts w:ascii="宋体" w:hAnsi="宋体" w:cs="宋体"/>
                <w:color w:val="000000"/>
                <w:kern w:val="0"/>
                <w:sz w:val="18"/>
                <w:szCs w:val="18"/>
              </w:rPr>
              <w:t>苍溪县人民法院</w:t>
            </w:r>
            <w:r>
              <w:rPr>
                <w:rFonts w:hint="eastAsia" w:ascii="宋体" w:hAnsi="宋体" w:cs="宋体"/>
                <w:color w:val="000000"/>
                <w:kern w:val="0"/>
                <w:sz w:val="18"/>
                <w:szCs w:val="18"/>
                <w:lang w:eastAsia="zh-CN"/>
              </w:rPr>
              <w:t>单位</w:t>
            </w:r>
          </w:p>
        </w:tc>
        <w:tc>
          <w:tcPr>
            <w:tcW w:w="979" w:type="dxa"/>
            <w:tcBorders>
              <w:top w:val="nil"/>
              <w:left w:val="nil"/>
              <w:bottom w:val="nil"/>
              <w:right w:val="nil"/>
            </w:tcBorders>
            <w:shd w:val="clear" w:color="auto" w:fill="auto"/>
            <w:vAlign w:val="center"/>
          </w:tcPr>
          <w:p>
            <w:pPr>
              <w:widowControl/>
              <w:spacing w:line="26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7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苍溪县人民法院</w:t>
            </w:r>
          </w:p>
        </w:tc>
      </w:tr>
      <w:tr>
        <w:tblPrEx>
          <w:tblCellMar>
            <w:top w:w="0" w:type="dxa"/>
            <w:left w:w="108" w:type="dxa"/>
            <w:bottom w:w="0" w:type="dxa"/>
            <w:right w:w="108" w:type="dxa"/>
          </w:tblCellMar>
        </w:tblPrEx>
        <w:trPr>
          <w:trHeight w:val="73" w:hRule="atLeast"/>
          <w:jc w:val="center"/>
        </w:trPr>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4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5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6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blPrEx>
          <w:tblCellMar>
            <w:top w:w="0" w:type="dxa"/>
            <w:left w:w="108" w:type="dxa"/>
            <w:bottom w:w="0" w:type="dxa"/>
            <w:right w:w="108" w:type="dxa"/>
          </w:tblCellMar>
        </w:tblPrEx>
        <w:trPr>
          <w:trHeight w:val="181"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1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455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left"/>
              <w:textAlignment w:val="center"/>
              <w:rPr>
                <w:rFonts w:ascii="宋体" w:hAnsi="宋体" w:cs="宋体"/>
                <w:color w:val="000000"/>
                <w:sz w:val="18"/>
                <w:szCs w:val="18"/>
              </w:rPr>
            </w:pPr>
            <w:r>
              <w:rPr>
                <w:rFonts w:ascii="宋体" w:hAnsi="宋体" w:cs="宋体"/>
                <w:color w:val="000000"/>
                <w:kern w:val="0"/>
                <w:sz w:val="18"/>
                <w:szCs w:val="18"/>
              </w:rPr>
              <w:t>发放2023年我单位40个聘用制书记员工资保险及日常办公所需开支</w:t>
            </w:r>
          </w:p>
        </w:tc>
        <w:tc>
          <w:tcPr>
            <w:tcW w:w="36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按照绩效目标，保障了40个聘用制书记员工资保险及日常办公所需开支</w:t>
            </w:r>
          </w:p>
        </w:tc>
      </w:tr>
      <w:tr>
        <w:tblPrEx>
          <w:tblCellMar>
            <w:top w:w="0" w:type="dxa"/>
            <w:left w:w="108" w:type="dxa"/>
            <w:bottom w:w="0" w:type="dxa"/>
            <w:right w:w="108" w:type="dxa"/>
          </w:tblCellMar>
        </w:tblPrEx>
        <w:trPr>
          <w:trHeight w:val="178"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823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60" w:lineRule="exact"/>
              <w:rPr>
                <w:rFonts w:ascii="宋体" w:hAnsi="宋体" w:cs="宋体"/>
                <w:color w:val="000000"/>
                <w:sz w:val="18"/>
                <w:szCs w:val="18"/>
              </w:rPr>
            </w:pPr>
          </w:p>
        </w:tc>
      </w:tr>
      <w:tr>
        <w:tblPrEx>
          <w:tblCellMar>
            <w:top w:w="0" w:type="dxa"/>
            <w:left w:w="108" w:type="dxa"/>
            <w:bottom w:w="0" w:type="dxa"/>
            <w:right w:w="108" w:type="dxa"/>
          </w:tblCellMar>
        </w:tblPrEx>
        <w:trPr>
          <w:trHeight w:val="92" w:hRule="atLeast"/>
          <w:jc w:val="center"/>
        </w:trPr>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22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88"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200.00</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200.00</w:t>
            </w:r>
          </w:p>
        </w:tc>
        <w:tc>
          <w:tcPr>
            <w:tcW w:w="22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187.90</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93.95%</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9.37</w:t>
            </w:r>
          </w:p>
        </w:tc>
        <w:tc>
          <w:tcPr>
            <w:tcW w:w="14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left"/>
              <w:textAlignment w:val="center"/>
              <w:rPr>
                <w:rFonts w:ascii="宋体" w:hAnsi="宋体" w:cs="宋体"/>
                <w:color w:val="000000"/>
                <w:sz w:val="18"/>
                <w:szCs w:val="18"/>
              </w:rPr>
            </w:pPr>
            <w:r>
              <w:rPr>
                <w:rFonts w:ascii="宋体" w:hAnsi="宋体" w:cs="宋体"/>
                <w:color w:val="000000"/>
                <w:kern w:val="0"/>
                <w:sz w:val="18"/>
                <w:szCs w:val="18"/>
              </w:rPr>
              <w:t>聘用制书记员经费有一部分资金需要年终进行考核，考核要下一年才能出结果，所以导致资金拨付进行不能达到100%.</w:t>
            </w:r>
          </w:p>
        </w:tc>
      </w:tr>
      <w:tr>
        <w:tblPrEx>
          <w:tblCellMar>
            <w:top w:w="0" w:type="dxa"/>
            <w:left w:w="108" w:type="dxa"/>
            <w:bottom w:w="0" w:type="dxa"/>
            <w:right w:w="108" w:type="dxa"/>
          </w:tblCellMar>
        </w:tblPrEx>
        <w:trPr>
          <w:trHeight w:val="100"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200.00</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200.00</w:t>
            </w:r>
          </w:p>
        </w:tc>
        <w:tc>
          <w:tcPr>
            <w:tcW w:w="22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187.90</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93.95%</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60" w:lineRule="exact"/>
              <w:jc w:val="left"/>
              <w:rPr>
                <w:rFonts w:ascii="宋体" w:hAnsi="宋体" w:cs="宋体"/>
                <w:color w:val="000000"/>
                <w:sz w:val="18"/>
                <w:szCs w:val="18"/>
              </w:rPr>
            </w:pPr>
          </w:p>
        </w:tc>
      </w:tr>
      <w:tr>
        <w:tblPrEx>
          <w:tblCellMar>
            <w:top w:w="0" w:type="dxa"/>
            <w:left w:w="108" w:type="dxa"/>
            <w:bottom w:w="0" w:type="dxa"/>
            <w:right w:w="108" w:type="dxa"/>
          </w:tblCellMar>
        </w:tblPrEx>
        <w:trPr>
          <w:trHeight w:val="104"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2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60" w:lineRule="exact"/>
              <w:jc w:val="left"/>
              <w:rPr>
                <w:rFonts w:ascii="宋体" w:hAnsi="宋体" w:cs="宋体"/>
                <w:color w:val="000000"/>
                <w:sz w:val="18"/>
                <w:szCs w:val="18"/>
              </w:rPr>
            </w:pPr>
          </w:p>
        </w:tc>
      </w:tr>
      <w:tr>
        <w:tblPrEx>
          <w:tblCellMar>
            <w:top w:w="0" w:type="dxa"/>
            <w:left w:w="108" w:type="dxa"/>
            <w:bottom w:w="0" w:type="dxa"/>
            <w:right w:w="108" w:type="dxa"/>
          </w:tblCellMar>
        </w:tblPrEx>
        <w:trPr>
          <w:trHeight w:val="92"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2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60" w:lineRule="exact"/>
              <w:jc w:val="left"/>
              <w:rPr>
                <w:rFonts w:ascii="宋体" w:hAnsi="宋体" w:cs="宋体"/>
                <w:color w:val="000000"/>
                <w:sz w:val="18"/>
                <w:szCs w:val="18"/>
              </w:rPr>
            </w:pPr>
          </w:p>
        </w:tc>
      </w:tr>
      <w:tr>
        <w:tblPrEx>
          <w:tblCellMar>
            <w:top w:w="0" w:type="dxa"/>
            <w:left w:w="108" w:type="dxa"/>
            <w:bottom w:w="0" w:type="dxa"/>
            <w:right w:w="108" w:type="dxa"/>
          </w:tblCellMar>
        </w:tblPrEx>
        <w:trPr>
          <w:trHeight w:val="86"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60" w:lineRule="exact"/>
              <w:jc w:val="center"/>
              <w:rPr>
                <w:rFonts w:ascii="微软雅黑" w:hAnsi="微软雅黑" w:eastAsia="微软雅黑" w:cs="微软雅黑"/>
                <w:i/>
                <w:iCs/>
                <w:color w:val="000000"/>
                <w:sz w:val="16"/>
                <w:szCs w:val="16"/>
              </w:rPr>
            </w:pP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60" w:lineRule="exact"/>
              <w:jc w:val="center"/>
              <w:rPr>
                <w:rFonts w:ascii="微软雅黑" w:hAnsi="微软雅黑" w:eastAsia="微软雅黑" w:cs="微软雅黑"/>
                <w:i/>
                <w:iCs/>
                <w:color w:val="000000"/>
                <w:sz w:val="16"/>
                <w:szCs w:val="16"/>
              </w:rPr>
            </w:pPr>
          </w:p>
        </w:tc>
        <w:tc>
          <w:tcPr>
            <w:tcW w:w="22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60" w:lineRule="exact"/>
              <w:jc w:val="center"/>
              <w:rPr>
                <w:rFonts w:ascii="微软雅黑" w:hAnsi="微软雅黑" w:eastAsia="微软雅黑" w:cs="微软雅黑"/>
                <w:i/>
                <w:iCs/>
                <w:color w:val="000000"/>
                <w:sz w:val="16"/>
                <w:szCs w:val="16"/>
              </w:rPr>
            </w:pP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60" w:lineRule="exact"/>
              <w:jc w:val="center"/>
              <w:rPr>
                <w:rFonts w:ascii="微软雅黑" w:hAnsi="微软雅黑" w:eastAsia="微软雅黑" w:cs="微软雅黑"/>
                <w:i/>
                <w:iCs/>
                <w:color w:val="000000"/>
                <w:sz w:val="16"/>
                <w:szCs w:val="16"/>
              </w:rPr>
            </w:pP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60" w:lineRule="exact"/>
              <w:jc w:val="left"/>
              <w:rPr>
                <w:rFonts w:ascii="宋体" w:hAnsi="宋体" w:cs="宋体"/>
                <w:color w:val="000000"/>
                <w:sz w:val="18"/>
                <w:szCs w:val="18"/>
              </w:rPr>
            </w:pPr>
          </w:p>
        </w:tc>
      </w:tr>
      <w:tr>
        <w:tblPrEx>
          <w:tblCellMar>
            <w:top w:w="0" w:type="dxa"/>
            <w:left w:w="108" w:type="dxa"/>
            <w:bottom w:w="0" w:type="dxa"/>
            <w:right w:w="108" w:type="dxa"/>
          </w:tblCellMar>
        </w:tblPrEx>
        <w:trPr>
          <w:trHeight w:val="116" w:hRule="atLeast"/>
          <w:jc w:val="center"/>
        </w:trPr>
        <w:tc>
          <w:tcPr>
            <w:tcW w:w="9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kern w:val="0"/>
                <w:sz w:val="18"/>
                <w:szCs w:val="18"/>
              </w:rPr>
            </w:pPr>
            <w:r>
              <w:rPr>
                <w:rFonts w:ascii="宋体" w:hAnsi="宋体" w:cs="宋体"/>
                <w:color w:val="000000"/>
                <w:kern w:val="0"/>
                <w:sz w:val="18"/>
                <w:szCs w:val="18"/>
              </w:rPr>
              <w:t>未完成原因</w:t>
            </w:r>
          </w:p>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分析</w:t>
            </w:r>
          </w:p>
        </w:tc>
      </w:tr>
      <w:tr>
        <w:tblPrEx>
          <w:tblCellMar>
            <w:top w:w="0" w:type="dxa"/>
            <w:left w:w="108" w:type="dxa"/>
            <w:bottom w:w="0" w:type="dxa"/>
            <w:right w:w="108" w:type="dxa"/>
          </w:tblCellMar>
        </w:tblPrEx>
        <w:trPr>
          <w:trHeight w:val="116"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4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保障聘用制书记员工作人数</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40</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人</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40</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6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116"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保障聘用制书记员工作效率</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6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86"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项目完成时间</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年</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6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116"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4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保障人民权益，维护司法工作</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6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116"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4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可持续发展指标</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保障审判执行工作的顺利开展，维护社会和平稳定</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6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116"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服务对象满意度指标</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聘用制书记员满意度</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459" w:type="dxa"/>
            <w:tcBorders>
              <w:top w:val="single" w:color="000000" w:sz="4" w:space="0"/>
              <w:left w:val="single" w:color="000000" w:sz="4" w:space="0"/>
              <w:bottom w:val="nil"/>
              <w:right w:val="single" w:color="000000" w:sz="4" w:space="0"/>
            </w:tcBorders>
            <w:shd w:val="clear" w:color="auto" w:fill="auto"/>
            <w:vAlign w:val="center"/>
          </w:tcPr>
          <w:p>
            <w:pPr>
              <w:spacing w:line="26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27" w:hRule="atLeast"/>
          <w:jc w:val="center"/>
        </w:trPr>
        <w:tc>
          <w:tcPr>
            <w:tcW w:w="9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4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119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完成项目所需成本</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200</w:t>
            </w:r>
          </w:p>
        </w:tc>
        <w:tc>
          <w:tcPr>
            <w:tcW w:w="7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万元</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200</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2" w:type="dxa"/>
            <w:tcBorders>
              <w:top w:val="single" w:color="000000" w:sz="4" w:space="0"/>
              <w:left w:val="single" w:color="000000" w:sz="4" w:space="0"/>
              <w:bottom w:val="single" w:color="000000" w:sz="4" w:space="0"/>
              <w:right w:val="nil"/>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45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60" w:lineRule="exact"/>
              <w:rPr>
                <w:rFonts w:ascii="宋体" w:hAnsi="宋体" w:cs="宋体"/>
                <w:color w:val="000000"/>
                <w:sz w:val="18"/>
                <w:szCs w:val="18"/>
              </w:rPr>
            </w:pPr>
          </w:p>
        </w:tc>
      </w:tr>
      <w:tr>
        <w:tblPrEx>
          <w:tblCellMar>
            <w:top w:w="0" w:type="dxa"/>
            <w:left w:w="108" w:type="dxa"/>
            <w:bottom w:w="0" w:type="dxa"/>
            <w:right w:w="108" w:type="dxa"/>
          </w:tblCellMar>
        </w:tblPrEx>
        <w:trPr>
          <w:trHeight w:val="119" w:hRule="atLeast"/>
          <w:jc w:val="center"/>
        </w:trPr>
        <w:tc>
          <w:tcPr>
            <w:tcW w:w="792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6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682" w:type="dxa"/>
            <w:tcBorders>
              <w:top w:val="single" w:color="000000" w:sz="4" w:space="0"/>
              <w:left w:val="single" w:color="000000" w:sz="4" w:space="0"/>
              <w:bottom w:val="single" w:color="000000" w:sz="4" w:space="0"/>
              <w:right w:val="nil"/>
            </w:tcBorders>
            <w:shd w:val="clear" w:color="auto" w:fill="auto"/>
            <w:vAlign w:val="center"/>
          </w:tcPr>
          <w:p>
            <w:pPr>
              <w:widowControl/>
              <w:spacing w:line="260" w:lineRule="exact"/>
              <w:jc w:val="center"/>
              <w:textAlignment w:val="center"/>
              <w:rPr>
                <w:rFonts w:ascii="宋体" w:hAnsi="宋体" w:cs="宋体"/>
                <w:color w:val="000000"/>
                <w:sz w:val="18"/>
                <w:szCs w:val="18"/>
              </w:rPr>
            </w:pPr>
            <w:r>
              <w:rPr>
                <w:rFonts w:ascii="宋体" w:hAnsi="宋体" w:cs="宋体"/>
                <w:color w:val="000000"/>
                <w:kern w:val="0"/>
                <w:sz w:val="18"/>
                <w:szCs w:val="18"/>
              </w:rPr>
              <w:t>99.37</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260" w:lineRule="exact"/>
              <w:rPr>
                <w:rFonts w:ascii="宋体" w:hAnsi="宋体" w:cs="宋体"/>
                <w:color w:val="000000"/>
                <w:sz w:val="22"/>
                <w:szCs w:val="22"/>
              </w:rPr>
            </w:pPr>
          </w:p>
        </w:tc>
      </w:tr>
      <w:tr>
        <w:tblPrEx>
          <w:tblCellMar>
            <w:top w:w="0" w:type="dxa"/>
            <w:left w:w="108" w:type="dxa"/>
            <w:bottom w:w="0" w:type="dxa"/>
            <w:right w:w="108" w:type="dxa"/>
          </w:tblCellMar>
        </w:tblPrEx>
        <w:trPr>
          <w:trHeight w:val="155" w:hRule="atLeast"/>
          <w:jc w:val="center"/>
        </w:trPr>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6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left"/>
              <w:textAlignment w:val="center"/>
              <w:rPr>
                <w:rFonts w:ascii="微软雅黑" w:hAnsi="微软雅黑" w:eastAsia="微软雅黑" w:cs="微软雅黑"/>
                <w:b/>
                <w:bCs/>
                <w:color w:val="000000"/>
                <w:sz w:val="16"/>
                <w:szCs w:val="16"/>
              </w:rPr>
            </w:pPr>
            <w:r>
              <w:rPr>
                <w:rFonts w:hint="eastAsia" w:ascii="微软雅黑" w:hAnsi="微软雅黑" w:eastAsia="微软雅黑" w:cs="微软雅黑"/>
                <w:b/>
                <w:bCs/>
                <w:color w:val="000000"/>
                <w:kern w:val="0"/>
                <w:sz w:val="16"/>
                <w:szCs w:val="16"/>
              </w:rPr>
              <w:t>我院2023年聘用制书记员项目情况较好，拨款200万，支付187.9万，完成执行进度93.95%。保障了用制书记员工资、保险、办公经费等，提升聘用制书记员工作效率，保障法院工作的正常运转。</w:t>
            </w:r>
          </w:p>
        </w:tc>
      </w:tr>
      <w:tr>
        <w:tblPrEx>
          <w:tblCellMar>
            <w:top w:w="0" w:type="dxa"/>
            <w:left w:w="108" w:type="dxa"/>
            <w:bottom w:w="0" w:type="dxa"/>
            <w:right w:w="108" w:type="dxa"/>
          </w:tblCellMar>
        </w:tblPrEx>
        <w:trPr>
          <w:trHeight w:val="147" w:hRule="atLeast"/>
          <w:jc w:val="center"/>
        </w:trPr>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6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left"/>
              <w:textAlignment w:val="center"/>
              <w:rPr>
                <w:rFonts w:ascii="微软雅黑" w:hAnsi="微软雅黑" w:eastAsia="微软雅黑" w:cs="微软雅黑"/>
                <w:b/>
                <w:bCs/>
                <w:color w:val="000000"/>
                <w:sz w:val="16"/>
                <w:szCs w:val="16"/>
              </w:rPr>
            </w:pPr>
            <w:r>
              <w:rPr>
                <w:rFonts w:hint="eastAsia" w:ascii="微软雅黑" w:hAnsi="微软雅黑" w:eastAsia="微软雅黑" w:cs="微软雅黑"/>
                <w:b/>
                <w:bCs/>
                <w:color w:val="000000"/>
                <w:kern w:val="0"/>
                <w:sz w:val="16"/>
                <w:szCs w:val="16"/>
              </w:rPr>
              <w:t>聘用制书记员经费有一部分资金需要进行年终进行考核，所以导致执行进度不能达到100%。</w:t>
            </w:r>
          </w:p>
        </w:tc>
      </w:tr>
      <w:tr>
        <w:tblPrEx>
          <w:tblCellMar>
            <w:top w:w="0" w:type="dxa"/>
            <w:left w:w="108" w:type="dxa"/>
            <w:bottom w:w="0" w:type="dxa"/>
            <w:right w:w="108" w:type="dxa"/>
          </w:tblCellMar>
        </w:tblPrEx>
        <w:trPr>
          <w:trHeight w:val="163" w:hRule="atLeast"/>
          <w:jc w:val="center"/>
        </w:trPr>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66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60" w:lineRule="exact"/>
              <w:jc w:val="left"/>
              <w:textAlignment w:val="center"/>
              <w:rPr>
                <w:rFonts w:ascii="微软雅黑" w:hAnsi="微软雅黑" w:eastAsia="微软雅黑" w:cs="微软雅黑"/>
                <w:b/>
                <w:bCs/>
                <w:color w:val="000000"/>
                <w:sz w:val="16"/>
                <w:szCs w:val="16"/>
              </w:rPr>
            </w:pPr>
            <w:r>
              <w:rPr>
                <w:rFonts w:hint="eastAsia" w:ascii="微软雅黑" w:hAnsi="微软雅黑" w:eastAsia="微软雅黑" w:cs="微软雅黑"/>
                <w:b/>
                <w:bCs/>
                <w:color w:val="000000"/>
                <w:kern w:val="0"/>
                <w:sz w:val="16"/>
                <w:szCs w:val="16"/>
              </w:rPr>
              <w:t>预算资金使用计划性有待加强，完善用款计划管理，更科学合理的编制资金使用计划，进一步细化收支项目、按时间、按进度支出，提高资金的使用效益。</w:t>
            </w:r>
          </w:p>
        </w:tc>
      </w:tr>
      <w:tr>
        <w:tblPrEx>
          <w:tblCellMar>
            <w:top w:w="0" w:type="dxa"/>
            <w:left w:w="108" w:type="dxa"/>
            <w:bottom w:w="0" w:type="dxa"/>
            <w:right w:w="108" w:type="dxa"/>
          </w:tblCellMar>
        </w:tblPrEx>
        <w:trPr>
          <w:trHeight w:val="73" w:hRule="atLeast"/>
          <w:jc w:val="center"/>
        </w:trPr>
        <w:tc>
          <w:tcPr>
            <w:tcW w:w="546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项目负责人：陈萍</w:t>
            </w:r>
          </w:p>
        </w:tc>
        <w:tc>
          <w:tcPr>
            <w:tcW w:w="516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财务负责人：李锦桦</w:t>
            </w:r>
          </w:p>
        </w:tc>
      </w:tr>
    </w:tbl>
    <w:p>
      <w:r>
        <w:br w:type="page"/>
      </w:r>
    </w:p>
    <w:tbl>
      <w:tblPr>
        <w:tblStyle w:val="16"/>
        <w:tblW w:w="10088" w:type="dxa"/>
        <w:jc w:val="center"/>
        <w:tblLayout w:type="autofit"/>
        <w:tblCellMar>
          <w:top w:w="0" w:type="dxa"/>
          <w:left w:w="108" w:type="dxa"/>
          <w:bottom w:w="0" w:type="dxa"/>
          <w:right w:w="108" w:type="dxa"/>
        </w:tblCellMar>
      </w:tblPr>
      <w:tblGrid>
        <w:gridCol w:w="994"/>
        <w:gridCol w:w="1133"/>
        <w:gridCol w:w="183"/>
        <w:gridCol w:w="844"/>
        <w:gridCol w:w="187"/>
        <w:gridCol w:w="1178"/>
        <w:gridCol w:w="255"/>
        <w:gridCol w:w="252"/>
        <w:gridCol w:w="134"/>
        <w:gridCol w:w="246"/>
        <w:gridCol w:w="532"/>
        <w:gridCol w:w="56"/>
        <w:gridCol w:w="458"/>
        <w:gridCol w:w="134"/>
        <w:gridCol w:w="71"/>
        <w:gridCol w:w="777"/>
        <w:gridCol w:w="134"/>
        <w:gridCol w:w="77"/>
        <w:gridCol w:w="387"/>
        <w:gridCol w:w="134"/>
        <w:gridCol w:w="54"/>
        <w:gridCol w:w="524"/>
        <w:gridCol w:w="134"/>
        <w:gridCol w:w="54"/>
        <w:gridCol w:w="1036"/>
        <w:gridCol w:w="120"/>
      </w:tblGrid>
      <w:tr>
        <w:tblPrEx>
          <w:tblCellMar>
            <w:top w:w="0" w:type="dxa"/>
            <w:left w:w="108" w:type="dxa"/>
            <w:bottom w:w="0" w:type="dxa"/>
            <w:right w:w="108" w:type="dxa"/>
          </w:tblCellMar>
        </w:tblPrEx>
        <w:trPr>
          <w:gridAfter w:val="1"/>
          <w:wAfter w:w="120" w:type="dxa"/>
          <w:trHeight w:val="145" w:hRule="atLeast"/>
          <w:jc w:val="center"/>
        </w:trPr>
        <w:tc>
          <w:tcPr>
            <w:tcW w:w="994" w:type="dxa"/>
            <w:tcBorders>
              <w:top w:val="nil"/>
              <w:left w:val="nil"/>
              <w:bottom w:val="nil"/>
              <w:right w:val="nil"/>
            </w:tcBorders>
            <w:shd w:val="clear" w:color="auto" w:fill="auto"/>
            <w:vAlign w:val="center"/>
          </w:tcPr>
          <w:p>
            <w:pPr>
              <w:rPr>
                <w:rFonts w:ascii="宋体" w:hAnsi="宋体" w:cs="宋体"/>
                <w:color w:val="000000"/>
                <w:sz w:val="18"/>
                <w:szCs w:val="18"/>
              </w:rPr>
            </w:pPr>
          </w:p>
        </w:tc>
        <w:tc>
          <w:tcPr>
            <w:tcW w:w="1316" w:type="dxa"/>
            <w:gridSpan w:val="2"/>
            <w:tcBorders>
              <w:top w:val="nil"/>
              <w:left w:val="nil"/>
              <w:bottom w:val="nil"/>
              <w:right w:val="nil"/>
            </w:tcBorders>
            <w:shd w:val="clear" w:color="auto" w:fill="auto"/>
            <w:vAlign w:val="center"/>
          </w:tcPr>
          <w:p>
            <w:pPr>
              <w:rPr>
                <w:rFonts w:ascii="宋体" w:hAnsi="宋体" w:cs="宋体"/>
                <w:color w:val="000000"/>
                <w:sz w:val="18"/>
                <w:szCs w:val="18"/>
              </w:rPr>
            </w:pPr>
          </w:p>
        </w:tc>
        <w:tc>
          <w:tcPr>
            <w:tcW w:w="1031" w:type="dxa"/>
            <w:gridSpan w:val="2"/>
            <w:tcBorders>
              <w:top w:val="nil"/>
              <w:left w:val="nil"/>
              <w:bottom w:val="nil"/>
              <w:right w:val="nil"/>
            </w:tcBorders>
            <w:shd w:val="clear" w:color="auto" w:fill="auto"/>
            <w:vAlign w:val="center"/>
          </w:tcPr>
          <w:p>
            <w:pPr>
              <w:rPr>
                <w:rFonts w:ascii="宋体" w:hAnsi="宋体" w:cs="宋体"/>
                <w:color w:val="000000"/>
                <w:sz w:val="18"/>
                <w:szCs w:val="18"/>
              </w:rPr>
            </w:pPr>
          </w:p>
        </w:tc>
        <w:tc>
          <w:tcPr>
            <w:tcW w:w="1433" w:type="dxa"/>
            <w:gridSpan w:val="2"/>
            <w:tcBorders>
              <w:top w:val="nil"/>
              <w:left w:val="nil"/>
              <w:bottom w:val="nil"/>
              <w:right w:val="nil"/>
            </w:tcBorders>
            <w:shd w:val="clear" w:color="auto" w:fill="auto"/>
            <w:vAlign w:val="center"/>
          </w:tcPr>
          <w:p>
            <w:pPr>
              <w:rPr>
                <w:rFonts w:ascii="宋体" w:hAnsi="宋体" w:cs="宋体"/>
                <w:color w:val="000000"/>
                <w:sz w:val="18"/>
                <w:szCs w:val="18"/>
              </w:rPr>
            </w:pPr>
          </w:p>
        </w:tc>
        <w:tc>
          <w:tcPr>
            <w:tcW w:w="632" w:type="dxa"/>
            <w:gridSpan w:val="3"/>
            <w:tcBorders>
              <w:top w:val="nil"/>
              <w:left w:val="nil"/>
              <w:bottom w:val="nil"/>
              <w:right w:val="nil"/>
            </w:tcBorders>
            <w:shd w:val="clear" w:color="auto" w:fill="auto"/>
            <w:vAlign w:val="center"/>
          </w:tcPr>
          <w:p>
            <w:pPr>
              <w:rPr>
                <w:rFonts w:ascii="宋体" w:hAnsi="宋体" w:cs="宋体"/>
                <w:color w:val="000000"/>
                <w:sz w:val="18"/>
                <w:szCs w:val="18"/>
              </w:rPr>
            </w:pPr>
          </w:p>
        </w:tc>
        <w:tc>
          <w:tcPr>
            <w:tcW w:w="588" w:type="dxa"/>
            <w:gridSpan w:val="2"/>
            <w:tcBorders>
              <w:top w:val="nil"/>
              <w:left w:val="nil"/>
              <w:bottom w:val="nil"/>
              <w:right w:val="nil"/>
            </w:tcBorders>
            <w:shd w:val="clear" w:color="auto" w:fill="auto"/>
            <w:vAlign w:val="center"/>
          </w:tcPr>
          <w:p>
            <w:pPr>
              <w:rPr>
                <w:rFonts w:ascii="宋体" w:hAnsi="宋体" w:cs="宋体"/>
                <w:color w:val="000000"/>
                <w:sz w:val="18"/>
                <w:szCs w:val="18"/>
              </w:rPr>
            </w:pPr>
          </w:p>
        </w:tc>
        <w:tc>
          <w:tcPr>
            <w:tcW w:w="663" w:type="dxa"/>
            <w:gridSpan w:val="3"/>
            <w:tcBorders>
              <w:top w:val="nil"/>
              <w:left w:val="nil"/>
              <w:bottom w:val="nil"/>
              <w:right w:val="nil"/>
            </w:tcBorders>
            <w:shd w:val="clear" w:color="auto" w:fill="auto"/>
            <w:vAlign w:val="center"/>
          </w:tcPr>
          <w:p>
            <w:pPr>
              <w:rPr>
                <w:rFonts w:ascii="宋体" w:hAnsi="宋体" w:cs="宋体"/>
                <w:color w:val="000000"/>
                <w:sz w:val="18"/>
                <w:szCs w:val="18"/>
              </w:rPr>
            </w:pPr>
          </w:p>
        </w:tc>
        <w:tc>
          <w:tcPr>
            <w:tcW w:w="988" w:type="dxa"/>
            <w:gridSpan w:val="3"/>
            <w:tcBorders>
              <w:top w:val="nil"/>
              <w:left w:val="nil"/>
              <w:bottom w:val="nil"/>
              <w:right w:val="nil"/>
            </w:tcBorders>
            <w:shd w:val="clear" w:color="auto" w:fill="auto"/>
            <w:vAlign w:val="center"/>
          </w:tcPr>
          <w:p>
            <w:pPr>
              <w:rPr>
                <w:rFonts w:ascii="宋体" w:hAnsi="宋体" w:cs="宋体"/>
                <w:color w:val="000000"/>
                <w:sz w:val="18"/>
                <w:szCs w:val="18"/>
              </w:rPr>
            </w:pPr>
          </w:p>
        </w:tc>
        <w:tc>
          <w:tcPr>
            <w:tcW w:w="575" w:type="dxa"/>
            <w:gridSpan w:val="3"/>
            <w:tcBorders>
              <w:top w:val="nil"/>
              <w:left w:val="nil"/>
              <w:bottom w:val="nil"/>
              <w:right w:val="nil"/>
            </w:tcBorders>
            <w:shd w:val="clear" w:color="auto" w:fill="auto"/>
            <w:vAlign w:val="center"/>
          </w:tcPr>
          <w:p>
            <w:pPr>
              <w:rPr>
                <w:rFonts w:ascii="宋体" w:hAnsi="宋体" w:cs="宋体"/>
                <w:color w:val="000000"/>
                <w:sz w:val="18"/>
                <w:szCs w:val="18"/>
              </w:rPr>
            </w:pPr>
          </w:p>
        </w:tc>
        <w:tc>
          <w:tcPr>
            <w:tcW w:w="712" w:type="dxa"/>
            <w:gridSpan w:val="3"/>
            <w:tcBorders>
              <w:top w:val="nil"/>
              <w:left w:val="nil"/>
              <w:bottom w:val="nil"/>
              <w:right w:val="nil"/>
            </w:tcBorders>
            <w:shd w:val="clear" w:color="auto" w:fill="auto"/>
            <w:vAlign w:val="center"/>
          </w:tcPr>
          <w:p>
            <w:pPr>
              <w:rPr>
                <w:rFonts w:ascii="宋体" w:hAnsi="宋体" w:cs="宋体"/>
                <w:color w:val="000000"/>
                <w:sz w:val="18"/>
                <w:szCs w:val="18"/>
              </w:rPr>
            </w:pPr>
          </w:p>
        </w:tc>
        <w:tc>
          <w:tcPr>
            <w:tcW w:w="1036" w:type="dxa"/>
            <w:tcBorders>
              <w:top w:val="nil"/>
              <w:left w:val="nil"/>
              <w:bottom w:val="nil"/>
              <w:right w:val="nil"/>
            </w:tcBorders>
            <w:shd w:val="clear" w:color="auto" w:fill="auto"/>
            <w:vAlign w:val="center"/>
          </w:tcPr>
          <w:p>
            <w:pPr>
              <w:rPr>
                <w:rFonts w:ascii="宋体" w:hAnsi="宋体" w:cs="宋体"/>
                <w:color w:val="000000"/>
                <w:sz w:val="18"/>
                <w:szCs w:val="18"/>
              </w:rPr>
            </w:pPr>
          </w:p>
        </w:tc>
      </w:tr>
      <w:tr>
        <w:tblPrEx>
          <w:tblCellMar>
            <w:top w:w="0" w:type="dxa"/>
            <w:left w:w="108" w:type="dxa"/>
            <w:bottom w:w="0" w:type="dxa"/>
            <w:right w:w="108" w:type="dxa"/>
          </w:tblCellMar>
        </w:tblPrEx>
        <w:trPr>
          <w:gridAfter w:val="1"/>
          <w:wAfter w:w="120" w:type="dxa"/>
          <w:trHeight w:val="244" w:hRule="atLeast"/>
          <w:jc w:val="center"/>
        </w:trPr>
        <w:tc>
          <w:tcPr>
            <w:tcW w:w="9968"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黑体" w:hAnsi="宋体" w:eastAsia="黑体" w:cs="黑体"/>
                <w:b/>
                <w:bCs/>
                <w:color w:val="FF0000"/>
                <w:sz w:val="30"/>
                <w:szCs w:val="30"/>
              </w:rPr>
            </w:pPr>
            <w:r>
              <w:rPr>
                <w:rFonts w:hint="eastAsia" w:ascii="黑体" w:hAnsi="宋体" w:eastAsia="黑体" w:cs="黑体"/>
                <w:b/>
                <w:bCs/>
                <w:color w:val="auto"/>
                <w:kern w:val="0"/>
                <w:sz w:val="30"/>
                <w:szCs w:val="30"/>
                <w:lang w:eastAsia="zh-CN"/>
              </w:rPr>
              <w:t>部门</w:t>
            </w:r>
            <w:r>
              <w:rPr>
                <w:rFonts w:hint="eastAsia" w:ascii="黑体" w:hAnsi="宋体" w:eastAsia="黑体" w:cs="黑体"/>
                <w:b/>
                <w:bCs/>
                <w:color w:val="auto"/>
                <w:kern w:val="0"/>
                <w:sz w:val="30"/>
                <w:szCs w:val="30"/>
              </w:rPr>
              <w:t>预算项目支出绩效自评表（2023年度）</w:t>
            </w:r>
          </w:p>
        </w:tc>
      </w:tr>
      <w:tr>
        <w:tblPrEx>
          <w:tblCellMar>
            <w:top w:w="0" w:type="dxa"/>
            <w:left w:w="108" w:type="dxa"/>
            <w:bottom w:w="0" w:type="dxa"/>
            <w:right w:w="108" w:type="dxa"/>
          </w:tblCellMar>
        </w:tblPrEx>
        <w:trPr>
          <w:gridAfter w:val="1"/>
          <w:wAfter w:w="120" w:type="dxa"/>
          <w:trHeight w:val="484" w:hRule="atLeast"/>
          <w:jc w:val="center"/>
        </w:trPr>
        <w:tc>
          <w:tcPr>
            <w:tcW w:w="23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7658"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51080023T000008430614-法警法定工作日之外加班补贴</w:t>
            </w:r>
          </w:p>
        </w:tc>
      </w:tr>
      <w:tr>
        <w:tblPrEx>
          <w:tblCellMar>
            <w:top w:w="0" w:type="dxa"/>
            <w:left w:w="108" w:type="dxa"/>
            <w:bottom w:w="0" w:type="dxa"/>
            <w:right w:w="108" w:type="dxa"/>
          </w:tblCellMar>
        </w:tblPrEx>
        <w:trPr>
          <w:gridAfter w:val="1"/>
          <w:wAfter w:w="120" w:type="dxa"/>
          <w:trHeight w:val="261" w:hRule="atLeast"/>
          <w:jc w:val="center"/>
        </w:trPr>
        <w:tc>
          <w:tcPr>
            <w:tcW w:w="23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宋体" w:hAnsi="宋体" w:eastAsia="宋体" w:cs="宋体"/>
                <w:color w:val="000000"/>
                <w:sz w:val="18"/>
                <w:szCs w:val="18"/>
                <w:lang w:eastAsia="zh-CN"/>
              </w:rPr>
            </w:pPr>
            <w:r>
              <w:rPr>
                <w:rFonts w:ascii="宋体" w:hAnsi="宋体" w:cs="宋体"/>
                <w:color w:val="000000"/>
                <w:kern w:val="0"/>
                <w:sz w:val="18"/>
                <w:szCs w:val="18"/>
              </w:rPr>
              <w:t>主管</w:t>
            </w:r>
            <w:r>
              <w:rPr>
                <w:rFonts w:hint="eastAsia" w:ascii="宋体" w:hAnsi="宋体" w:cs="宋体"/>
                <w:color w:val="000000"/>
                <w:kern w:val="0"/>
                <w:sz w:val="18"/>
                <w:szCs w:val="18"/>
                <w:lang w:eastAsia="zh-CN"/>
              </w:rPr>
              <w:t>单位</w:t>
            </w:r>
          </w:p>
        </w:tc>
        <w:tc>
          <w:tcPr>
            <w:tcW w:w="434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宋体" w:hAnsi="宋体" w:eastAsia="宋体" w:cs="宋体"/>
                <w:color w:val="000000"/>
                <w:sz w:val="18"/>
                <w:szCs w:val="18"/>
                <w:lang w:eastAsia="zh-CN"/>
              </w:rPr>
            </w:pPr>
            <w:r>
              <w:rPr>
                <w:rFonts w:ascii="宋体" w:hAnsi="宋体" w:cs="宋体"/>
                <w:color w:val="000000"/>
                <w:kern w:val="0"/>
                <w:sz w:val="18"/>
                <w:szCs w:val="18"/>
              </w:rPr>
              <w:t>苍溪县人民法院</w:t>
            </w:r>
            <w:r>
              <w:rPr>
                <w:rFonts w:hint="eastAsia" w:ascii="宋体" w:hAnsi="宋体" w:cs="宋体"/>
                <w:color w:val="000000"/>
                <w:kern w:val="0"/>
                <w:sz w:val="18"/>
                <w:szCs w:val="18"/>
                <w:lang w:eastAsia="zh-CN"/>
              </w:rPr>
              <w:t>单位</w:t>
            </w:r>
          </w:p>
        </w:tc>
        <w:tc>
          <w:tcPr>
            <w:tcW w:w="988" w:type="dxa"/>
            <w:gridSpan w:val="3"/>
            <w:tcBorders>
              <w:top w:val="nil"/>
              <w:left w:val="nil"/>
              <w:bottom w:val="nil"/>
              <w:right w:val="nil"/>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32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苍溪县人民法院</w:t>
            </w:r>
          </w:p>
        </w:tc>
      </w:tr>
      <w:tr>
        <w:tblPrEx>
          <w:tblCellMar>
            <w:top w:w="0" w:type="dxa"/>
            <w:left w:w="108" w:type="dxa"/>
            <w:bottom w:w="0" w:type="dxa"/>
            <w:right w:w="108" w:type="dxa"/>
          </w:tblCellMar>
        </w:tblPrEx>
        <w:trPr>
          <w:gridAfter w:val="1"/>
          <w:wAfter w:w="120" w:type="dxa"/>
          <w:trHeight w:val="470" w:hRule="atLeast"/>
          <w:jc w:val="center"/>
        </w:trPr>
        <w:tc>
          <w:tcPr>
            <w:tcW w:w="9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3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34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31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blPrEx>
          <w:tblCellMar>
            <w:top w:w="0" w:type="dxa"/>
            <w:left w:w="108" w:type="dxa"/>
            <w:bottom w:w="0" w:type="dxa"/>
            <w:right w:w="108" w:type="dxa"/>
          </w:tblCellMar>
        </w:tblPrEx>
        <w:trPr>
          <w:gridAfter w:val="1"/>
          <w:wAfter w:w="120" w:type="dxa"/>
          <w:trHeight w:val="396"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13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宋体" w:hAnsi="宋体" w:cs="宋体"/>
                <w:color w:val="000000"/>
                <w:sz w:val="18"/>
                <w:szCs w:val="18"/>
              </w:rPr>
            </w:pPr>
          </w:p>
        </w:tc>
        <w:tc>
          <w:tcPr>
            <w:tcW w:w="4347"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发放2023年我单位9个法警工作加班补贴</w:t>
            </w:r>
          </w:p>
        </w:tc>
        <w:tc>
          <w:tcPr>
            <w:tcW w:w="331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9名法警加班补助全部发放到位。</w:t>
            </w:r>
          </w:p>
        </w:tc>
      </w:tr>
      <w:tr>
        <w:tblPrEx>
          <w:tblCellMar>
            <w:top w:w="0" w:type="dxa"/>
            <w:left w:w="108" w:type="dxa"/>
            <w:bottom w:w="0" w:type="dxa"/>
            <w:right w:w="108" w:type="dxa"/>
          </w:tblCellMar>
        </w:tblPrEx>
        <w:trPr>
          <w:gridAfter w:val="1"/>
          <w:wAfter w:w="120" w:type="dxa"/>
          <w:trHeight w:val="353"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1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7658" w:type="dxa"/>
            <w:gridSpan w:val="2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宋体" w:hAnsi="宋体" w:cs="宋体"/>
                <w:color w:val="000000"/>
                <w:sz w:val="18"/>
                <w:szCs w:val="18"/>
              </w:rPr>
            </w:pPr>
          </w:p>
        </w:tc>
      </w:tr>
      <w:tr>
        <w:tblPrEx>
          <w:tblCellMar>
            <w:top w:w="0" w:type="dxa"/>
            <w:left w:w="108" w:type="dxa"/>
            <w:bottom w:w="0" w:type="dxa"/>
            <w:right w:w="108" w:type="dxa"/>
          </w:tblCellMar>
        </w:tblPrEx>
        <w:trPr>
          <w:gridAfter w:val="1"/>
          <w:wAfter w:w="120" w:type="dxa"/>
          <w:trHeight w:val="183" w:hRule="atLeast"/>
          <w:jc w:val="center"/>
        </w:trPr>
        <w:tc>
          <w:tcPr>
            <w:tcW w:w="9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18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gridAfter w:val="1"/>
          <w:wAfter w:w="120" w:type="dxa"/>
          <w:trHeight w:val="394"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7.67</w:t>
            </w: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7.67</w:t>
            </w:r>
          </w:p>
        </w:tc>
        <w:tc>
          <w:tcPr>
            <w:tcW w:w="18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7.67</w:t>
            </w: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0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gridAfter w:val="1"/>
          <w:wAfter w:w="120" w:type="dxa"/>
          <w:trHeight w:val="415"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7.67</w:t>
            </w: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7.67</w:t>
            </w:r>
          </w:p>
        </w:tc>
        <w:tc>
          <w:tcPr>
            <w:tcW w:w="18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7.67</w:t>
            </w: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gridAfter w:val="1"/>
          <w:wAfter w:w="120" w:type="dxa"/>
          <w:trHeight w:val="208"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8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gridAfter w:val="1"/>
          <w:wAfter w:w="120" w:type="dxa"/>
          <w:trHeight w:val="403"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8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gridAfter w:val="1"/>
          <w:wAfter w:w="120" w:type="dxa"/>
          <w:trHeight w:val="434"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c>
          <w:tcPr>
            <w:tcW w:w="18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0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gridAfter w:val="1"/>
          <w:wAfter w:w="120" w:type="dxa"/>
          <w:trHeight w:val="684" w:hRule="atLeast"/>
          <w:jc w:val="center"/>
        </w:trPr>
        <w:tc>
          <w:tcPr>
            <w:tcW w:w="9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6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6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gridAfter w:val="1"/>
          <w:wAfter w:w="120" w:type="dxa"/>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3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发放加班补助人数</w:t>
            </w:r>
          </w:p>
        </w:tc>
        <w:tc>
          <w:tcPr>
            <w:tcW w:w="6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w:t>
            </w:r>
          </w:p>
        </w:tc>
        <w:tc>
          <w:tcPr>
            <w:tcW w:w="6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人</w:t>
            </w: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gridAfter w:val="1"/>
          <w:wAfter w:w="120" w:type="dxa"/>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3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保障法警工作效率</w:t>
            </w:r>
          </w:p>
        </w:tc>
        <w:tc>
          <w:tcPr>
            <w:tcW w:w="6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6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gridAfter w:val="1"/>
          <w:wAfter w:w="120" w:type="dxa"/>
          <w:trHeight w:val="408"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3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完成项目时间</w:t>
            </w:r>
          </w:p>
        </w:tc>
        <w:tc>
          <w:tcPr>
            <w:tcW w:w="6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w:t>
            </w:r>
          </w:p>
        </w:tc>
        <w:tc>
          <w:tcPr>
            <w:tcW w:w="6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w:t>
            </w: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gridAfter w:val="1"/>
          <w:wAfter w:w="120" w:type="dxa"/>
          <w:trHeight w:val="231"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3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维护干警合法权益、全力保障司法工作</w:t>
            </w:r>
          </w:p>
        </w:tc>
        <w:tc>
          <w:tcPr>
            <w:tcW w:w="6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6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gridAfter w:val="1"/>
          <w:wAfter w:w="120" w:type="dxa"/>
          <w:trHeight w:val="231"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3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可持续发展指标</w:t>
            </w: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保障审判工作的顺利开展，维护开庭秩序</w:t>
            </w:r>
          </w:p>
        </w:tc>
        <w:tc>
          <w:tcPr>
            <w:tcW w:w="6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6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gridAfter w:val="1"/>
          <w:wAfter w:w="120" w:type="dxa"/>
          <w:trHeight w:val="231"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服务对象满意度指标</w:t>
            </w: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法警满意度</w:t>
            </w:r>
          </w:p>
        </w:tc>
        <w:tc>
          <w:tcPr>
            <w:tcW w:w="6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6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gridAfter w:val="1"/>
          <w:wAfter w:w="120" w:type="dxa"/>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14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项目所需成本</w:t>
            </w:r>
          </w:p>
        </w:tc>
        <w:tc>
          <w:tcPr>
            <w:tcW w:w="63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5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7.67</w:t>
            </w:r>
          </w:p>
        </w:tc>
        <w:tc>
          <w:tcPr>
            <w:tcW w:w="66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万元</w:t>
            </w:r>
          </w:p>
        </w:tc>
        <w:tc>
          <w:tcPr>
            <w:tcW w:w="9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7.67</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gridAfter w:val="1"/>
          <w:wAfter w:w="120" w:type="dxa"/>
          <w:trHeight w:val="444" w:hRule="atLeast"/>
          <w:jc w:val="center"/>
        </w:trPr>
        <w:tc>
          <w:tcPr>
            <w:tcW w:w="7645"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宋体" w:hAnsi="宋体" w:cs="宋体"/>
                <w:color w:val="000000"/>
                <w:sz w:val="18"/>
                <w:szCs w:val="18"/>
              </w:rPr>
            </w:pPr>
          </w:p>
        </w:tc>
      </w:tr>
      <w:tr>
        <w:tblPrEx>
          <w:tblCellMar>
            <w:top w:w="0" w:type="dxa"/>
            <w:left w:w="108" w:type="dxa"/>
            <w:bottom w:w="0" w:type="dxa"/>
            <w:right w:w="108" w:type="dxa"/>
          </w:tblCellMar>
        </w:tblPrEx>
        <w:trPr>
          <w:gridAfter w:val="1"/>
          <w:wAfter w:w="120" w:type="dxa"/>
          <w:trHeight w:val="553"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8974"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微软雅黑" w:hAnsi="微软雅黑" w:eastAsia="微软雅黑" w:cs="微软雅黑"/>
                <w:color w:val="000000"/>
                <w:sz w:val="16"/>
                <w:szCs w:val="16"/>
              </w:rPr>
            </w:pPr>
            <w:r>
              <w:rPr>
                <w:rFonts w:hint="eastAsia" w:ascii="微软雅黑" w:hAnsi="微软雅黑" w:eastAsia="微软雅黑" w:cs="微软雅黑"/>
                <w:color w:val="000000"/>
                <w:kern w:val="0"/>
                <w:sz w:val="16"/>
                <w:szCs w:val="16"/>
              </w:rPr>
              <w:t>2023年加班补助项目实施较好，拨款7.67万，支付7.67万，完成执行进度100%。申报内容与实际相符，申报目标绩效合理可行,严格按照绩效指标值进行实施。</w:t>
            </w:r>
          </w:p>
        </w:tc>
      </w:tr>
      <w:tr>
        <w:tblPrEx>
          <w:tblCellMar>
            <w:top w:w="0" w:type="dxa"/>
            <w:left w:w="108" w:type="dxa"/>
            <w:bottom w:w="0" w:type="dxa"/>
            <w:right w:w="108" w:type="dxa"/>
          </w:tblCellMar>
        </w:tblPrEx>
        <w:trPr>
          <w:gridAfter w:val="1"/>
          <w:wAfter w:w="120" w:type="dxa"/>
          <w:trHeight w:val="485"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8974"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tblPrEx>
          <w:tblCellMar>
            <w:top w:w="0" w:type="dxa"/>
            <w:left w:w="108" w:type="dxa"/>
            <w:bottom w:w="0" w:type="dxa"/>
            <w:right w:w="108" w:type="dxa"/>
          </w:tblCellMar>
        </w:tblPrEx>
        <w:trPr>
          <w:gridAfter w:val="1"/>
          <w:wAfter w:w="120" w:type="dxa"/>
          <w:trHeight w:val="459"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8974"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tblPrEx>
          <w:tblCellMar>
            <w:top w:w="0" w:type="dxa"/>
            <w:left w:w="108" w:type="dxa"/>
            <w:bottom w:w="0" w:type="dxa"/>
            <w:right w:w="108" w:type="dxa"/>
          </w:tblCellMar>
        </w:tblPrEx>
        <w:trPr>
          <w:gridAfter w:val="1"/>
          <w:wAfter w:w="120" w:type="dxa"/>
          <w:trHeight w:val="443" w:hRule="atLeast"/>
          <w:jc w:val="center"/>
        </w:trPr>
        <w:tc>
          <w:tcPr>
            <w:tcW w:w="540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项目负责人：陈萍</w:t>
            </w:r>
          </w:p>
        </w:tc>
        <w:tc>
          <w:tcPr>
            <w:tcW w:w="4562"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财务负责人：李锦桦</w:t>
            </w:r>
          </w:p>
        </w:tc>
      </w:tr>
      <w:tr>
        <w:tblPrEx>
          <w:tblCellMar>
            <w:top w:w="0" w:type="dxa"/>
            <w:left w:w="108" w:type="dxa"/>
            <w:bottom w:w="0" w:type="dxa"/>
            <w:right w:w="108" w:type="dxa"/>
          </w:tblCellMar>
        </w:tblPrEx>
        <w:trPr>
          <w:gridAfter w:val="1"/>
          <w:wAfter w:w="120" w:type="dxa"/>
          <w:trHeight w:val="443" w:hRule="atLeast"/>
          <w:jc w:val="center"/>
        </w:trPr>
        <w:tc>
          <w:tcPr>
            <w:tcW w:w="540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黑体" w:hAnsi="黑体" w:eastAsia="黑体" w:cs="黑体"/>
                <w:color w:val="000000"/>
                <w:kern w:val="0"/>
                <w:sz w:val="18"/>
                <w:szCs w:val="18"/>
              </w:rPr>
            </w:pPr>
          </w:p>
        </w:tc>
        <w:tc>
          <w:tcPr>
            <w:tcW w:w="4562"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黑体" w:hAnsi="黑体" w:eastAsia="黑体" w:cs="黑体"/>
                <w:color w:val="000000"/>
                <w:kern w:val="0"/>
                <w:sz w:val="18"/>
                <w:szCs w:val="18"/>
              </w:rPr>
            </w:pPr>
          </w:p>
        </w:tc>
      </w:tr>
      <w:tr>
        <w:tblPrEx>
          <w:tblCellMar>
            <w:top w:w="0" w:type="dxa"/>
            <w:left w:w="108" w:type="dxa"/>
            <w:bottom w:w="0" w:type="dxa"/>
            <w:right w:w="108" w:type="dxa"/>
          </w:tblCellMar>
        </w:tblPrEx>
        <w:trPr>
          <w:trHeight w:val="178" w:hRule="atLeast"/>
          <w:jc w:val="center"/>
        </w:trPr>
        <w:tc>
          <w:tcPr>
            <w:tcW w:w="10088" w:type="dxa"/>
            <w:gridSpan w:val="2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黑体" w:hAnsi="宋体" w:eastAsia="黑体" w:cs="黑体"/>
                <w:b/>
                <w:bCs/>
                <w:color w:val="FF0000"/>
                <w:sz w:val="30"/>
                <w:szCs w:val="30"/>
              </w:rPr>
            </w:pPr>
            <w:r>
              <w:rPr>
                <w:rFonts w:hint="eastAsia" w:ascii="黑体" w:hAnsi="宋体" w:eastAsia="黑体" w:cs="黑体"/>
                <w:b/>
                <w:bCs/>
                <w:color w:val="auto"/>
                <w:kern w:val="0"/>
                <w:sz w:val="30"/>
                <w:szCs w:val="30"/>
                <w:lang w:eastAsia="zh-CN"/>
              </w:rPr>
              <w:t>部门</w:t>
            </w:r>
            <w:r>
              <w:rPr>
                <w:rFonts w:hint="eastAsia" w:ascii="黑体" w:hAnsi="宋体" w:eastAsia="黑体" w:cs="黑体"/>
                <w:b/>
                <w:bCs/>
                <w:color w:val="auto"/>
                <w:kern w:val="0"/>
                <w:sz w:val="30"/>
                <w:szCs w:val="30"/>
              </w:rPr>
              <w:t>预算项目支出绩效自评表（2023年度）</w:t>
            </w:r>
          </w:p>
        </w:tc>
      </w:tr>
      <w:tr>
        <w:tblPrEx>
          <w:tblCellMar>
            <w:top w:w="0" w:type="dxa"/>
            <w:left w:w="108" w:type="dxa"/>
            <w:bottom w:w="0" w:type="dxa"/>
            <w:right w:w="108" w:type="dxa"/>
          </w:tblCellMar>
        </w:tblPrEx>
        <w:trPr>
          <w:trHeight w:val="145" w:hRule="atLeast"/>
          <w:jc w:val="center"/>
        </w:trPr>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7961"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51080023T000008430669-日常运行经费</w:t>
            </w:r>
          </w:p>
        </w:tc>
      </w:tr>
      <w:tr>
        <w:tblPrEx>
          <w:tblCellMar>
            <w:top w:w="0" w:type="dxa"/>
            <w:left w:w="108" w:type="dxa"/>
            <w:bottom w:w="0" w:type="dxa"/>
            <w:right w:w="108" w:type="dxa"/>
          </w:tblCellMar>
        </w:tblPrEx>
        <w:trPr>
          <w:trHeight w:val="261" w:hRule="atLeast"/>
          <w:jc w:val="center"/>
        </w:trPr>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宋体" w:hAnsi="宋体" w:eastAsia="宋体" w:cs="宋体"/>
                <w:color w:val="000000"/>
                <w:sz w:val="18"/>
                <w:szCs w:val="18"/>
                <w:lang w:eastAsia="zh-CN"/>
              </w:rPr>
            </w:pPr>
            <w:r>
              <w:rPr>
                <w:rFonts w:ascii="宋体" w:hAnsi="宋体" w:cs="宋体"/>
                <w:color w:val="000000"/>
                <w:kern w:val="0"/>
                <w:sz w:val="18"/>
                <w:szCs w:val="18"/>
              </w:rPr>
              <w:t>主管</w:t>
            </w:r>
            <w:r>
              <w:rPr>
                <w:rFonts w:hint="eastAsia" w:ascii="宋体" w:hAnsi="宋体" w:cs="宋体"/>
                <w:color w:val="000000"/>
                <w:kern w:val="0"/>
                <w:sz w:val="18"/>
                <w:szCs w:val="18"/>
                <w:lang w:eastAsia="zh-CN"/>
              </w:rPr>
              <w:t>单位</w:t>
            </w:r>
          </w:p>
        </w:tc>
        <w:tc>
          <w:tcPr>
            <w:tcW w:w="432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宋体" w:hAnsi="宋体" w:eastAsia="宋体" w:cs="宋体"/>
                <w:color w:val="000000"/>
                <w:sz w:val="18"/>
                <w:szCs w:val="18"/>
                <w:lang w:eastAsia="zh-CN"/>
              </w:rPr>
            </w:pPr>
            <w:r>
              <w:rPr>
                <w:rFonts w:ascii="宋体" w:hAnsi="宋体" w:cs="宋体"/>
                <w:color w:val="000000"/>
                <w:kern w:val="0"/>
                <w:sz w:val="18"/>
                <w:szCs w:val="18"/>
              </w:rPr>
              <w:t>苍溪县人民法院</w:t>
            </w:r>
            <w:r>
              <w:rPr>
                <w:rFonts w:hint="eastAsia" w:ascii="宋体" w:hAnsi="宋体" w:cs="宋体"/>
                <w:color w:val="000000"/>
                <w:kern w:val="0"/>
                <w:sz w:val="18"/>
                <w:szCs w:val="18"/>
                <w:lang w:eastAsia="zh-CN"/>
              </w:rPr>
              <w:t>单位</w:t>
            </w:r>
          </w:p>
        </w:tc>
        <w:tc>
          <w:tcPr>
            <w:tcW w:w="982" w:type="dxa"/>
            <w:gridSpan w:val="3"/>
            <w:tcBorders>
              <w:top w:val="nil"/>
              <w:left w:val="nil"/>
              <w:bottom w:val="nil"/>
              <w:right w:val="nil"/>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65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苍溪县人民法院</w:t>
            </w:r>
          </w:p>
        </w:tc>
      </w:tr>
      <w:tr>
        <w:tblPrEx>
          <w:tblCellMar>
            <w:top w:w="0" w:type="dxa"/>
            <w:left w:w="108" w:type="dxa"/>
            <w:bottom w:w="0" w:type="dxa"/>
            <w:right w:w="108" w:type="dxa"/>
          </w:tblCellMar>
        </w:tblPrEx>
        <w:trPr>
          <w:trHeight w:val="145" w:hRule="atLeast"/>
          <w:jc w:val="center"/>
        </w:trPr>
        <w:tc>
          <w:tcPr>
            <w:tcW w:w="9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32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636"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blPrEx>
          <w:tblCellMar>
            <w:top w:w="0" w:type="dxa"/>
            <w:left w:w="108" w:type="dxa"/>
            <w:bottom w:w="0" w:type="dxa"/>
            <w:right w:w="108" w:type="dxa"/>
          </w:tblCellMar>
        </w:tblPrEx>
        <w:trPr>
          <w:trHeight w:val="360"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宋体" w:hAnsi="宋体" w:cs="宋体"/>
                <w:color w:val="000000"/>
                <w:sz w:val="18"/>
                <w:szCs w:val="18"/>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宋体" w:hAnsi="宋体" w:cs="宋体"/>
                <w:color w:val="000000"/>
                <w:sz w:val="18"/>
                <w:szCs w:val="18"/>
              </w:rPr>
            </w:pPr>
          </w:p>
        </w:tc>
        <w:tc>
          <w:tcPr>
            <w:tcW w:w="432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保障我院2023年日常工作的正常运转</w:t>
            </w:r>
          </w:p>
        </w:tc>
        <w:tc>
          <w:tcPr>
            <w:tcW w:w="3636"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该项目完成情况较好，拨款205.74万，支付170.32万，完成执行进度82.78%。完成了日常任务而发生的人员支出和公用支出，保障法院工作的正常运转。</w:t>
            </w:r>
          </w:p>
        </w:tc>
      </w:tr>
      <w:tr>
        <w:tblPrEx>
          <w:tblCellMar>
            <w:top w:w="0" w:type="dxa"/>
            <w:left w:w="108" w:type="dxa"/>
            <w:bottom w:w="0" w:type="dxa"/>
            <w:right w:w="108" w:type="dxa"/>
          </w:tblCellMar>
        </w:tblPrEx>
        <w:trPr>
          <w:trHeight w:val="353"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7961" w:type="dxa"/>
            <w:gridSpan w:val="2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宋体" w:hAnsi="宋体" w:cs="宋体"/>
                <w:color w:val="000000"/>
                <w:sz w:val="18"/>
                <w:szCs w:val="18"/>
              </w:rPr>
            </w:pPr>
          </w:p>
        </w:tc>
      </w:tr>
      <w:tr>
        <w:tblPrEx>
          <w:tblCellMar>
            <w:top w:w="0" w:type="dxa"/>
            <w:left w:w="108" w:type="dxa"/>
            <w:bottom w:w="0" w:type="dxa"/>
            <w:right w:w="108" w:type="dxa"/>
          </w:tblCellMar>
        </w:tblPrEx>
        <w:trPr>
          <w:trHeight w:val="183" w:hRule="atLeast"/>
          <w:jc w:val="center"/>
        </w:trPr>
        <w:tc>
          <w:tcPr>
            <w:tcW w:w="9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206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175"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30.30</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205.74</w:t>
            </w:r>
          </w:p>
        </w:tc>
        <w:tc>
          <w:tcPr>
            <w:tcW w:w="206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170.32</w:t>
            </w:r>
          </w:p>
        </w:tc>
        <w:tc>
          <w:tcPr>
            <w:tcW w:w="9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82.78%</w:t>
            </w: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7.65</w:t>
            </w:r>
          </w:p>
        </w:tc>
        <w:tc>
          <w:tcPr>
            <w:tcW w:w="121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2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该项目年初预算为30.3万元，追加后资金为205.74万元，由于年末事情较多，资金中的维修费、工会经费等项目已经实施，但是没有及时将报账资料收集，导致支付进度缓慢。</w:t>
            </w:r>
          </w:p>
        </w:tc>
      </w:tr>
      <w:tr>
        <w:tblPrEx>
          <w:tblCellMar>
            <w:top w:w="0" w:type="dxa"/>
            <w:left w:w="108" w:type="dxa"/>
            <w:bottom w:w="0" w:type="dxa"/>
            <w:right w:w="108" w:type="dxa"/>
          </w:tblCellMar>
        </w:tblPrEx>
        <w:trPr>
          <w:trHeight w:val="198"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30.30</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205.74</w:t>
            </w:r>
          </w:p>
        </w:tc>
        <w:tc>
          <w:tcPr>
            <w:tcW w:w="206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170.32</w:t>
            </w:r>
          </w:p>
        </w:tc>
        <w:tc>
          <w:tcPr>
            <w:tcW w:w="9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82.78%</w:t>
            </w: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1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黑体" w:hAnsi="黑体" w:eastAsia="黑体" w:cs="黑体"/>
                <w:color w:val="000000"/>
                <w:sz w:val="18"/>
                <w:szCs w:val="18"/>
              </w:rPr>
            </w:pPr>
          </w:p>
        </w:tc>
      </w:tr>
      <w:tr>
        <w:tblPrEx>
          <w:tblCellMar>
            <w:top w:w="0" w:type="dxa"/>
            <w:left w:w="108" w:type="dxa"/>
            <w:bottom w:w="0" w:type="dxa"/>
            <w:right w:w="108" w:type="dxa"/>
          </w:tblCellMar>
        </w:tblPrEx>
        <w:trPr>
          <w:trHeight w:val="208"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06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1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黑体" w:hAnsi="黑体" w:eastAsia="黑体" w:cs="黑体"/>
                <w:color w:val="000000"/>
                <w:sz w:val="18"/>
                <w:szCs w:val="18"/>
              </w:rPr>
            </w:pPr>
          </w:p>
        </w:tc>
      </w:tr>
      <w:tr>
        <w:tblPrEx>
          <w:tblCellMar>
            <w:top w:w="0" w:type="dxa"/>
            <w:left w:w="108" w:type="dxa"/>
            <w:bottom w:w="0" w:type="dxa"/>
            <w:right w:w="108" w:type="dxa"/>
          </w:tblCellMar>
        </w:tblPrEx>
        <w:trPr>
          <w:trHeight w:val="183"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06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1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黑体" w:hAnsi="黑体" w:eastAsia="黑体" w:cs="黑体"/>
                <w:color w:val="000000"/>
                <w:sz w:val="18"/>
                <w:szCs w:val="18"/>
              </w:rPr>
            </w:pPr>
          </w:p>
        </w:tc>
      </w:tr>
      <w:tr>
        <w:tblPrEx>
          <w:tblCellMar>
            <w:top w:w="0" w:type="dxa"/>
            <w:left w:w="108" w:type="dxa"/>
            <w:bottom w:w="0" w:type="dxa"/>
            <w:right w:w="108" w:type="dxa"/>
          </w:tblCellMar>
        </w:tblPrEx>
        <w:trPr>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c>
          <w:tcPr>
            <w:tcW w:w="206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c>
          <w:tcPr>
            <w:tcW w:w="9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1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黑体" w:hAnsi="黑体" w:eastAsia="黑体" w:cs="黑体"/>
                <w:color w:val="000000"/>
                <w:sz w:val="18"/>
                <w:szCs w:val="18"/>
              </w:rPr>
            </w:pPr>
          </w:p>
        </w:tc>
      </w:tr>
      <w:tr>
        <w:tblPrEx>
          <w:tblCellMar>
            <w:top w:w="0" w:type="dxa"/>
            <w:left w:w="108" w:type="dxa"/>
            <w:bottom w:w="0" w:type="dxa"/>
            <w:right w:w="108" w:type="dxa"/>
          </w:tblCellMar>
        </w:tblPrEx>
        <w:trPr>
          <w:trHeight w:val="231" w:hRule="atLeast"/>
          <w:jc w:val="center"/>
        </w:trPr>
        <w:tc>
          <w:tcPr>
            <w:tcW w:w="9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6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出差办公人次</w:t>
            </w:r>
          </w:p>
        </w:tc>
        <w:tc>
          <w:tcPr>
            <w:tcW w:w="6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3000</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9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3000</w:t>
            </w: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提升干警日常工作效率</w:t>
            </w:r>
          </w:p>
        </w:tc>
        <w:tc>
          <w:tcPr>
            <w:tcW w:w="6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7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9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项目完成时间</w:t>
            </w:r>
          </w:p>
        </w:tc>
        <w:tc>
          <w:tcPr>
            <w:tcW w:w="6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w:t>
            </w:r>
          </w:p>
        </w:tc>
        <w:tc>
          <w:tcPr>
            <w:tcW w:w="9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w:t>
            </w: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31"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维护社会和平稳定，保障我县发展大局</w:t>
            </w:r>
          </w:p>
        </w:tc>
        <w:tc>
          <w:tcPr>
            <w:tcW w:w="6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7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9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31"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1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服务对象满意度指标</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干警满意度</w:t>
            </w:r>
          </w:p>
        </w:tc>
        <w:tc>
          <w:tcPr>
            <w:tcW w:w="6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1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完成项目所需成本</w:t>
            </w:r>
          </w:p>
        </w:tc>
        <w:tc>
          <w:tcPr>
            <w:tcW w:w="64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205.74</w:t>
            </w:r>
          </w:p>
        </w:tc>
        <w:tc>
          <w:tcPr>
            <w:tcW w:w="6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万</w:t>
            </w:r>
          </w:p>
        </w:tc>
        <w:tc>
          <w:tcPr>
            <w:tcW w:w="9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170.31</w:t>
            </w: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15</w:t>
            </w:r>
          </w:p>
        </w:tc>
        <w:tc>
          <w:tcPr>
            <w:tcW w:w="12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330" w:hRule="atLeast"/>
          <w:jc w:val="center"/>
        </w:trPr>
        <w:tc>
          <w:tcPr>
            <w:tcW w:w="7434"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7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98.65</w:t>
            </w:r>
          </w:p>
        </w:tc>
        <w:tc>
          <w:tcPr>
            <w:tcW w:w="13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宋体" w:hAnsi="宋体" w:cs="宋体"/>
                <w:color w:val="000000"/>
                <w:sz w:val="18"/>
                <w:szCs w:val="18"/>
              </w:rPr>
            </w:pPr>
          </w:p>
        </w:tc>
      </w:tr>
      <w:tr>
        <w:tblPrEx>
          <w:tblCellMar>
            <w:top w:w="0" w:type="dxa"/>
            <w:left w:w="108" w:type="dxa"/>
            <w:bottom w:w="0" w:type="dxa"/>
            <w:right w:w="108" w:type="dxa"/>
          </w:tblCellMar>
        </w:tblPrEx>
        <w:trPr>
          <w:trHeight w:val="306"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094"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该项目完成情况较好，拨款205.74万，支付170.32万，完成执行进度82.78%。完成了日常任务而发生的人员支出和公用支出，保障法院工作的正常运转。</w:t>
            </w:r>
          </w:p>
        </w:tc>
      </w:tr>
      <w:tr>
        <w:tblPrEx>
          <w:tblCellMar>
            <w:top w:w="0" w:type="dxa"/>
            <w:left w:w="108" w:type="dxa"/>
            <w:bottom w:w="0" w:type="dxa"/>
            <w:right w:w="108" w:type="dxa"/>
          </w:tblCellMar>
        </w:tblPrEx>
        <w:trPr>
          <w:trHeight w:val="292"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094"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该项目年初预算为30.3万元，追加后资金为205.74万元，由于年末事情较多，资金中的维修费、工会经费等项目已经实施，但是没有及时将报账资料收集，导致支付进度缓慢。</w:t>
            </w:r>
          </w:p>
        </w:tc>
      </w:tr>
      <w:tr>
        <w:tblPrEx>
          <w:tblCellMar>
            <w:top w:w="0" w:type="dxa"/>
            <w:left w:w="108" w:type="dxa"/>
            <w:bottom w:w="0" w:type="dxa"/>
            <w:right w:w="108" w:type="dxa"/>
          </w:tblCellMar>
        </w:tblPrEx>
        <w:trPr>
          <w:trHeight w:val="322"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094" w:type="dxa"/>
            <w:gridSpan w:val="2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预算资金使用计划性有待加强，完善用款计划管理，更科学合理的编制资金使用计划，进一步细化收支项目、按时间、按进度支出，提高资金的使用效益。</w:t>
            </w:r>
          </w:p>
        </w:tc>
      </w:tr>
      <w:tr>
        <w:tblPrEx>
          <w:tblCellMar>
            <w:top w:w="0" w:type="dxa"/>
            <w:left w:w="108" w:type="dxa"/>
            <w:bottom w:w="0" w:type="dxa"/>
            <w:right w:w="108" w:type="dxa"/>
          </w:tblCellMar>
        </w:tblPrEx>
        <w:trPr>
          <w:trHeight w:val="363" w:hRule="atLeast"/>
          <w:jc w:val="center"/>
        </w:trPr>
        <w:tc>
          <w:tcPr>
            <w:tcW w:w="502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项目负责人：陈萍</w:t>
            </w:r>
          </w:p>
        </w:tc>
        <w:tc>
          <w:tcPr>
            <w:tcW w:w="5062"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财务负责人：李静桦</w:t>
            </w:r>
          </w:p>
        </w:tc>
      </w:tr>
    </w:tbl>
    <w:p>
      <w:pPr>
        <w:spacing w:line="240" w:lineRule="exact"/>
        <w:rPr>
          <w:rFonts w:ascii="宋体" w:hAnsi="宋体" w:cs="宋体"/>
          <w:color w:val="000000"/>
          <w:sz w:val="18"/>
          <w:szCs w:val="18"/>
        </w:rPr>
      </w:pPr>
      <w:r>
        <w:rPr>
          <w:rFonts w:ascii="宋体" w:hAnsi="宋体" w:cs="宋体"/>
          <w:color w:val="000000"/>
          <w:sz w:val="18"/>
          <w:szCs w:val="18"/>
        </w:rPr>
        <w:br w:type="page"/>
      </w:r>
    </w:p>
    <w:tbl>
      <w:tblPr>
        <w:tblStyle w:val="16"/>
        <w:tblW w:w="10088" w:type="dxa"/>
        <w:jc w:val="center"/>
        <w:tblLayout w:type="autofit"/>
        <w:tblCellMar>
          <w:top w:w="0" w:type="dxa"/>
          <w:left w:w="108" w:type="dxa"/>
          <w:bottom w:w="0" w:type="dxa"/>
          <w:right w:w="108" w:type="dxa"/>
        </w:tblCellMar>
      </w:tblPr>
      <w:tblGrid>
        <w:gridCol w:w="994"/>
        <w:gridCol w:w="1133"/>
        <w:gridCol w:w="1027"/>
        <w:gridCol w:w="1365"/>
        <w:gridCol w:w="507"/>
        <w:gridCol w:w="134"/>
        <w:gridCol w:w="778"/>
        <w:gridCol w:w="514"/>
        <w:gridCol w:w="134"/>
        <w:gridCol w:w="848"/>
        <w:gridCol w:w="134"/>
        <w:gridCol w:w="464"/>
        <w:gridCol w:w="134"/>
        <w:gridCol w:w="578"/>
        <w:gridCol w:w="134"/>
        <w:gridCol w:w="1210"/>
      </w:tblGrid>
      <w:tr>
        <w:tblPrEx>
          <w:tblCellMar>
            <w:top w:w="0" w:type="dxa"/>
            <w:left w:w="108" w:type="dxa"/>
            <w:bottom w:w="0" w:type="dxa"/>
            <w:right w:w="108" w:type="dxa"/>
          </w:tblCellMar>
        </w:tblPrEx>
        <w:trPr>
          <w:trHeight w:val="460" w:hRule="atLeast"/>
          <w:jc w:val="center"/>
        </w:trPr>
        <w:tc>
          <w:tcPr>
            <w:tcW w:w="10088"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黑体" w:hAnsi="宋体" w:eastAsia="黑体" w:cs="黑体"/>
                <w:b/>
                <w:bCs/>
                <w:color w:val="FF0000"/>
                <w:sz w:val="30"/>
                <w:szCs w:val="30"/>
              </w:rPr>
            </w:pPr>
            <w:r>
              <w:rPr>
                <w:rFonts w:hint="eastAsia" w:ascii="黑体" w:hAnsi="宋体" w:eastAsia="黑体" w:cs="黑体"/>
                <w:b/>
                <w:bCs/>
                <w:color w:val="auto"/>
                <w:kern w:val="0"/>
                <w:sz w:val="30"/>
                <w:szCs w:val="30"/>
                <w:lang w:eastAsia="zh-CN"/>
              </w:rPr>
              <w:t>部门</w:t>
            </w:r>
            <w:r>
              <w:rPr>
                <w:rFonts w:hint="eastAsia" w:ascii="黑体" w:hAnsi="宋体" w:eastAsia="黑体" w:cs="黑体"/>
                <w:b/>
                <w:bCs/>
                <w:color w:val="auto"/>
                <w:kern w:val="0"/>
                <w:sz w:val="30"/>
                <w:szCs w:val="30"/>
              </w:rPr>
              <w:t>预算项目支出绩效自评表（2023年度）</w:t>
            </w:r>
          </w:p>
        </w:tc>
      </w:tr>
      <w:tr>
        <w:tblPrEx>
          <w:tblCellMar>
            <w:top w:w="0" w:type="dxa"/>
            <w:left w:w="108" w:type="dxa"/>
            <w:bottom w:w="0" w:type="dxa"/>
            <w:right w:w="108" w:type="dxa"/>
          </w:tblCellMar>
        </w:tblPrEx>
        <w:trPr>
          <w:trHeight w:val="145" w:hRule="atLeast"/>
          <w:jc w:val="center"/>
        </w:trPr>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7961"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51080023T000008431032-案件审判经费</w:t>
            </w:r>
          </w:p>
        </w:tc>
      </w:tr>
      <w:tr>
        <w:tblPrEx>
          <w:tblCellMar>
            <w:top w:w="0" w:type="dxa"/>
            <w:left w:w="108" w:type="dxa"/>
            <w:bottom w:w="0" w:type="dxa"/>
            <w:right w:w="108" w:type="dxa"/>
          </w:tblCellMar>
        </w:tblPrEx>
        <w:trPr>
          <w:trHeight w:val="261" w:hRule="atLeast"/>
          <w:jc w:val="center"/>
        </w:trPr>
        <w:tc>
          <w:tcPr>
            <w:tcW w:w="21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宋体" w:hAnsi="宋体" w:eastAsia="宋体" w:cs="宋体"/>
                <w:color w:val="000000"/>
                <w:sz w:val="18"/>
                <w:szCs w:val="18"/>
                <w:lang w:eastAsia="zh-CN"/>
              </w:rPr>
            </w:pPr>
            <w:r>
              <w:rPr>
                <w:rFonts w:ascii="宋体" w:hAnsi="宋体" w:cs="宋体"/>
                <w:color w:val="000000"/>
                <w:kern w:val="0"/>
                <w:sz w:val="18"/>
                <w:szCs w:val="18"/>
              </w:rPr>
              <w:t>主管</w:t>
            </w:r>
            <w:r>
              <w:rPr>
                <w:rFonts w:hint="eastAsia" w:ascii="宋体" w:hAnsi="宋体" w:cs="宋体"/>
                <w:color w:val="000000"/>
                <w:kern w:val="0"/>
                <w:sz w:val="18"/>
                <w:szCs w:val="18"/>
                <w:lang w:eastAsia="zh-CN"/>
              </w:rPr>
              <w:t>单位</w:t>
            </w:r>
          </w:p>
        </w:tc>
        <w:tc>
          <w:tcPr>
            <w:tcW w:w="43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hint="eastAsia" w:ascii="宋体" w:hAnsi="宋体" w:eastAsia="宋体" w:cs="宋体"/>
                <w:color w:val="000000"/>
                <w:sz w:val="18"/>
                <w:szCs w:val="18"/>
                <w:lang w:eastAsia="zh-CN"/>
              </w:rPr>
            </w:pPr>
            <w:r>
              <w:rPr>
                <w:rFonts w:ascii="宋体" w:hAnsi="宋体" w:cs="宋体"/>
                <w:color w:val="000000"/>
                <w:kern w:val="0"/>
                <w:sz w:val="18"/>
                <w:szCs w:val="18"/>
              </w:rPr>
              <w:t>苍溪县人民法院</w:t>
            </w:r>
            <w:r>
              <w:rPr>
                <w:rFonts w:hint="eastAsia" w:ascii="宋体" w:hAnsi="宋体" w:cs="宋体"/>
                <w:color w:val="000000"/>
                <w:kern w:val="0"/>
                <w:sz w:val="18"/>
                <w:szCs w:val="18"/>
                <w:lang w:eastAsia="zh-CN"/>
              </w:rPr>
              <w:t>单位</w:t>
            </w:r>
          </w:p>
        </w:tc>
        <w:tc>
          <w:tcPr>
            <w:tcW w:w="982" w:type="dxa"/>
            <w:gridSpan w:val="2"/>
            <w:tcBorders>
              <w:top w:val="nil"/>
              <w:left w:val="nil"/>
              <w:bottom w:val="nil"/>
              <w:right w:val="nil"/>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65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苍溪县人民法院</w:t>
            </w:r>
          </w:p>
        </w:tc>
      </w:tr>
      <w:tr>
        <w:tblPrEx>
          <w:tblCellMar>
            <w:top w:w="0" w:type="dxa"/>
            <w:left w:w="108" w:type="dxa"/>
            <w:bottom w:w="0" w:type="dxa"/>
            <w:right w:w="108" w:type="dxa"/>
          </w:tblCellMar>
        </w:tblPrEx>
        <w:trPr>
          <w:trHeight w:val="145" w:hRule="atLeast"/>
          <w:jc w:val="center"/>
        </w:trPr>
        <w:tc>
          <w:tcPr>
            <w:tcW w:w="9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3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63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blPrEx>
          <w:tblCellMar>
            <w:top w:w="0" w:type="dxa"/>
            <w:left w:w="108" w:type="dxa"/>
            <w:bottom w:w="0" w:type="dxa"/>
            <w:right w:w="108" w:type="dxa"/>
          </w:tblCellMar>
        </w:tblPrEx>
        <w:trPr>
          <w:trHeight w:val="918"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宋体" w:hAnsi="宋体" w:cs="宋体"/>
                <w:color w:val="000000"/>
                <w:sz w:val="18"/>
                <w:szCs w:val="18"/>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宋体" w:hAnsi="宋体" w:cs="宋体"/>
                <w:color w:val="000000"/>
                <w:sz w:val="18"/>
                <w:szCs w:val="18"/>
              </w:rPr>
            </w:pPr>
          </w:p>
        </w:tc>
        <w:tc>
          <w:tcPr>
            <w:tcW w:w="432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1.保障人民陪审员人数，维护社会公平正义，让人民群众参与到案件的审判中去。</w:t>
            </w:r>
            <w:r>
              <w:rPr>
                <w:rFonts w:ascii="宋体" w:hAnsi="宋体" w:cs="宋体"/>
                <w:color w:val="000000"/>
                <w:kern w:val="0"/>
                <w:sz w:val="18"/>
                <w:szCs w:val="18"/>
              </w:rPr>
              <w:br w:type="textWrapping"/>
            </w:r>
            <w:r>
              <w:rPr>
                <w:rFonts w:ascii="宋体" w:hAnsi="宋体" w:cs="宋体"/>
                <w:color w:val="000000"/>
                <w:kern w:val="0"/>
                <w:sz w:val="18"/>
                <w:szCs w:val="18"/>
              </w:rPr>
              <w:t>2.保障干警办案出差差旅费及公务用车运行维护费用，提升办案干警工作效率。</w:t>
            </w:r>
            <w:r>
              <w:rPr>
                <w:rFonts w:ascii="宋体" w:hAnsi="宋体" w:cs="宋体"/>
                <w:color w:val="000000"/>
                <w:kern w:val="0"/>
                <w:sz w:val="18"/>
                <w:szCs w:val="18"/>
              </w:rPr>
              <w:br w:type="textWrapping"/>
            </w:r>
            <w:r>
              <w:rPr>
                <w:rFonts w:ascii="宋体" w:hAnsi="宋体" w:cs="宋体"/>
                <w:color w:val="000000"/>
                <w:kern w:val="0"/>
                <w:sz w:val="18"/>
                <w:szCs w:val="18"/>
              </w:rPr>
              <w:t>3：消除法院机关及派出法庭办公及审判业务用房安全隐患，规划办案区域秩序，优化办案区域环境。</w:t>
            </w:r>
            <w:r>
              <w:rPr>
                <w:rFonts w:ascii="宋体" w:hAnsi="宋体" w:cs="宋体"/>
                <w:color w:val="000000"/>
                <w:kern w:val="0"/>
                <w:sz w:val="18"/>
                <w:szCs w:val="18"/>
              </w:rPr>
              <w:br w:type="textWrapping"/>
            </w:r>
            <w:r>
              <w:rPr>
                <w:rFonts w:ascii="宋体" w:hAnsi="宋体" w:cs="宋体"/>
                <w:color w:val="000000"/>
                <w:kern w:val="0"/>
                <w:sz w:val="18"/>
                <w:szCs w:val="18"/>
              </w:rPr>
              <w:t>4：宣传法治思想，建设社会主义法治社会，弘扬社会公平正义。</w:t>
            </w:r>
          </w:p>
        </w:tc>
        <w:tc>
          <w:tcPr>
            <w:tcW w:w="363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我院2023年审判业务及辅助完成情况较好，拨款20万，支付20万，完成执行进度100%。我院按要求支付审判所需相关经费，保障了人民陪审员人数，维护社会公平正义，让人民群众参与到案件的审判中去。维护了网络运行通讯，保障干警出差差旅费及公务用车运行维护费用，提升办案干警工作效率。消除了法院机关及派出法庭办公及审判业务用房安全隐患，规划了办案区域秩序，优化办案区域环境。宣传了法治思想，建设社会主义法治社会，弘扬社会公平正义。</w:t>
            </w:r>
          </w:p>
        </w:tc>
      </w:tr>
      <w:tr>
        <w:tblPrEx>
          <w:tblCellMar>
            <w:top w:w="0" w:type="dxa"/>
            <w:left w:w="108" w:type="dxa"/>
            <w:bottom w:w="0" w:type="dxa"/>
            <w:right w:w="108" w:type="dxa"/>
          </w:tblCellMar>
        </w:tblPrEx>
        <w:trPr>
          <w:trHeight w:val="353"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7961"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宋体" w:hAnsi="宋体" w:cs="宋体"/>
                <w:color w:val="000000"/>
                <w:sz w:val="18"/>
                <w:szCs w:val="18"/>
              </w:rPr>
            </w:pPr>
          </w:p>
        </w:tc>
      </w:tr>
      <w:tr>
        <w:tblPrEx>
          <w:tblCellMar>
            <w:top w:w="0" w:type="dxa"/>
            <w:left w:w="108" w:type="dxa"/>
            <w:bottom w:w="0" w:type="dxa"/>
            <w:right w:w="108" w:type="dxa"/>
          </w:tblCellMar>
        </w:tblPrEx>
        <w:trPr>
          <w:trHeight w:val="183" w:hRule="atLeast"/>
          <w:jc w:val="center"/>
        </w:trPr>
        <w:tc>
          <w:tcPr>
            <w:tcW w:w="9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206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blPrEx>
          <w:tblCellMar>
            <w:top w:w="0" w:type="dxa"/>
            <w:left w:w="108" w:type="dxa"/>
            <w:bottom w:w="0" w:type="dxa"/>
            <w:right w:w="108" w:type="dxa"/>
          </w:tblCellMar>
        </w:tblPrEx>
        <w:trPr>
          <w:trHeight w:val="175"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20.00</w:t>
            </w:r>
          </w:p>
        </w:tc>
        <w:tc>
          <w:tcPr>
            <w:tcW w:w="206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20.00</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2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198"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20.00</w:t>
            </w:r>
          </w:p>
        </w:tc>
        <w:tc>
          <w:tcPr>
            <w:tcW w:w="206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20.00</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208"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06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183"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06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c>
          <w:tcPr>
            <w:tcW w:w="206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12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trHeight w:val="231" w:hRule="atLeast"/>
          <w:jc w:val="center"/>
        </w:trPr>
        <w:tc>
          <w:tcPr>
            <w:tcW w:w="9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6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度量单位</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1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0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法官人均结案数</w:t>
            </w:r>
          </w:p>
        </w:tc>
        <w:tc>
          <w:tcPr>
            <w:tcW w:w="6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180</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件</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180</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一审案件审结率</w:t>
            </w:r>
          </w:p>
        </w:tc>
        <w:tc>
          <w:tcPr>
            <w:tcW w:w="6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31"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0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网络运行良好，达到所需质量要求</w:t>
            </w:r>
          </w:p>
        </w:tc>
        <w:tc>
          <w:tcPr>
            <w:tcW w:w="6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0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服判息诉率</w:t>
            </w:r>
          </w:p>
        </w:tc>
        <w:tc>
          <w:tcPr>
            <w:tcW w:w="6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95</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95</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1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项目完成时间</w:t>
            </w:r>
          </w:p>
        </w:tc>
        <w:tc>
          <w:tcPr>
            <w:tcW w:w="6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31"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维护社会公平正义，推动我县发展大局</w:t>
            </w:r>
          </w:p>
        </w:tc>
        <w:tc>
          <w:tcPr>
            <w:tcW w:w="6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231"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服务对象满意度指标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人民群众满意度</w:t>
            </w:r>
          </w:p>
        </w:tc>
        <w:tc>
          <w:tcPr>
            <w:tcW w:w="6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172" w:hRule="atLeast"/>
          <w:jc w:val="center"/>
        </w:trPr>
        <w:tc>
          <w:tcPr>
            <w:tcW w:w="9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136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项目完成所需成本</w:t>
            </w:r>
          </w:p>
        </w:tc>
        <w:tc>
          <w:tcPr>
            <w:tcW w:w="6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6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万</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145" w:hRule="atLeast"/>
          <w:jc w:val="center"/>
        </w:trPr>
        <w:tc>
          <w:tcPr>
            <w:tcW w:w="743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5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7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1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宋体" w:hAnsi="宋体" w:cs="宋体"/>
                <w:color w:val="000000"/>
                <w:sz w:val="18"/>
                <w:szCs w:val="18"/>
              </w:rPr>
            </w:pPr>
          </w:p>
        </w:tc>
      </w:tr>
      <w:tr>
        <w:tblPrEx>
          <w:tblCellMar>
            <w:top w:w="0" w:type="dxa"/>
            <w:left w:w="108" w:type="dxa"/>
            <w:bottom w:w="0" w:type="dxa"/>
            <w:right w:w="108" w:type="dxa"/>
          </w:tblCellMar>
        </w:tblPrEx>
        <w:trPr>
          <w:trHeight w:val="396"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9094"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我院2023年审判业务及辅助完成情况较好，拨款20万，支付20万，完成执行进度100%。我院按要求支付审判所需相关经费，保障了人民陪审员人数，维护社会公平正义，让人民群众参与到案件的审判中去。维护了网络运行通讯，保障干警出差差旅费及公务用车运行维护费用，提升办案干警工作效率。消除了法院机关及派出法庭办公及审判业务用房安全隐患，规划了办案区域秩序，优化办案区域环境。宣传了法治思想，建设社会主义法治社会，弘扬社会公平正义。</w:t>
            </w:r>
          </w:p>
        </w:tc>
      </w:tr>
      <w:tr>
        <w:tblPrEx>
          <w:tblCellMar>
            <w:top w:w="0" w:type="dxa"/>
            <w:left w:w="108" w:type="dxa"/>
            <w:bottom w:w="0" w:type="dxa"/>
            <w:right w:w="108" w:type="dxa"/>
          </w:tblCellMar>
        </w:tblPrEx>
        <w:trPr>
          <w:trHeight w:val="292"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9094"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tblPrEx>
          <w:tblCellMar>
            <w:top w:w="0" w:type="dxa"/>
            <w:left w:w="108" w:type="dxa"/>
            <w:bottom w:w="0" w:type="dxa"/>
            <w:right w:w="108" w:type="dxa"/>
          </w:tblCellMar>
        </w:tblPrEx>
        <w:trPr>
          <w:trHeight w:val="322" w:hRule="atLeast"/>
          <w:jc w:val="center"/>
        </w:trPr>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9094"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tblPrEx>
          <w:tblCellMar>
            <w:top w:w="0" w:type="dxa"/>
            <w:left w:w="108" w:type="dxa"/>
            <w:bottom w:w="0" w:type="dxa"/>
            <w:right w:w="108" w:type="dxa"/>
          </w:tblCellMar>
        </w:tblPrEx>
        <w:trPr>
          <w:trHeight w:val="145" w:hRule="atLeast"/>
          <w:jc w:val="center"/>
        </w:trPr>
        <w:tc>
          <w:tcPr>
            <w:tcW w:w="502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项目负责人：陈萍</w:t>
            </w:r>
          </w:p>
        </w:tc>
        <w:tc>
          <w:tcPr>
            <w:tcW w:w="506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 xml:space="preserve">财务负责人：李锦桦 </w:t>
            </w:r>
          </w:p>
        </w:tc>
      </w:tr>
    </w:tbl>
    <w:p/>
    <w:tbl>
      <w:tblPr>
        <w:tblStyle w:val="16"/>
        <w:tblW w:w="9938" w:type="dxa"/>
        <w:jc w:val="center"/>
        <w:tblLayout w:type="fixed"/>
        <w:tblCellMar>
          <w:top w:w="0" w:type="dxa"/>
          <w:left w:w="108" w:type="dxa"/>
          <w:bottom w:w="0" w:type="dxa"/>
          <w:right w:w="108" w:type="dxa"/>
        </w:tblCellMar>
      </w:tblPr>
      <w:tblGrid>
        <w:gridCol w:w="975"/>
        <w:gridCol w:w="1171"/>
        <w:gridCol w:w="1001"/>
        <w:gridCol w:w="1383"/>
        <w:gridCol w:w="558"/>
        <w:gridCol w:w="181"/>
        <w:gridCol w:w="739"/>
        <w:gridCol w:w="389"/>
        <w:gridCol w:w="391"/>
        <w:gridCol w:w="756"/>
        <w:gridCol w:w="123"/>
        <w:gridCol w:w="602"/>
        <w:gridCol w:w="123"/>
        <w:gridCol w:w="562"/>
        <w:gridCol w:w="123"/>
        <w:gridCol w:w="855"/>
        <w:gridCol w:w="6"/>
      </w:tblGrid>
      <w:tr>
        <w:tblPrEx>
          <w:tblCellMar>
            <w:top w:w="0" w:type="dxa"/>
            <w:left w:w="108" w:type="dxa"/>
            <w:bottom w:w="0" w:type="dxa"/>
            <w:right w:w="108" w:type="dxa"/>
          </w:tblCellMar>
        </w:tblPrEx>
        <w:trPr>
          <w:trHeight w:val="90" w:hRule="atLeast"/>
          <w:jc w:val="center"/>
        </w:trPr>
        <w:tc>
          <w:tcPr>
            <w:tcW w:w="9938"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黑体" w:hAnsi="宋体" w:eastAsia="黑体" w:cs="黑体"/>
                <w:b/>
                <w:bCs/>
                <w:color w:val="000000"/>
                <w:sz w:val="30"/>
                <w:szCs w:val="30"/>
              </w:rPr>
            </w:pPr>
            <w:r>
              <w:rPr>
                <w:rFonts w:hint="eastAsia" w:ascii="黑体" w:hAnsi="宋体" w:eastAsia="黑体" w:cs="黑体"/>
                <w:b/>
                <w:bCs/>
                <w:color w:val="000000"/>
                <w:kern w:val="0"/>
                <w:sz w:val="30"/>
                <w:szCs w:val="30"/>
                <w:lang w:eastAsia="zh-CN"/>
              </w:rPr>
              <w:t>部门</w:t>
            </w:r>
            <w:r>
              <w:rPr>
                <w:rFonts w:hint="eastAsia" w:ascii="黑体" w:hAnsi="宋体" w:eastAsia="黑体" w:cs="黑体"/>
                <w:b/>
                <w:bCs/>
                <w:color w:val="000000"/>
                <w:kern w:val="0"/>
                <w:sz w:val="30"/>
                <w:szCs w:val="30"/>
              </w:rPr>
              <w:t>预算项目支出绩效自评表（2023年度）</w:t>
            </w:r>
          </w:p>
        </w:tc>
      </w:tr>
      <w:tr>
        <w:tblPrEx>
          <w:tblCellMar>
            <w:top w:w="0" w:type="dxa"/>
            <w:left w:w="108" w:type="dxa"/>
            <w:bottom w:w="0" w:type="dxa"/>
            <w:right w:w="108" w:type="dxa"/>
          </w:tblCellMar>
        </w:tblPrEx>
        <w:trPr>
          <w:trHeight w:val="90"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项目名称</w:t>
            </w:r>
          </w:p>
        </w:tc>
        <w:tc>
          <w:tcPr>
            <w:tcW w:w="7792"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51080023T000008431051-案件执行经费</w:t>
            </w:r>
          </w:p>
        </w:tc>
      </w:tr>
      <w:tr>
        <w:tblPrEx>
          <w:tblCellMar>
            <w:top w:w="0" w:type="dxa"/>
            <w:left w:w="108" w:type="dxa"/>
            <w:bottom w:w="0" w:type="dxa"/>
            <w:right w:w="108" w:type="dxa"/>
          </w:tblCellMar>
        </w:tblPrEx>
        <w:trPr>
          <w:trHeight w:val="368" w:hRule="atLeast"/>
          <w:jc w:val="center"/>
        </w:trPr>
        <w:tc>
          <w:tcPr>
            <w:tcW w:w="21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8"/>
                <w:szCs w:val="18"/>
                <w:lang w:eastAsia="zh-CN"/>
              </w:rPr>
            </w:pPr>
            <w:r>
              <w:rPr>
                <w:rFonts w:ascii="宋体" w:hAnsi="宋体" w:cs="宋体"/>
                <w:color w:val="000000"/>
                <w:kern w:val="0"/>
                <w:sz w:val="18"/>
                <w:szCs w:val="18"/>
              </w:rPr>
              <w:t>主管</w:t>
            </w:r>
            <w:r>
              <w:rPr>
                <w:rFonts w:hint="eastAsia" w:ascii="宋体" w:hAnsi="宋体" w:cs="宋体"/>
                <w:color w:val="000000"/>
                <w:kern w:val="0"/>
                <w:sz w:val="18"/>
                <w:szCs w:val="18"/>
                <w:lang w:eastAsia="zh-CN"/>
              </w:rPr>
              <w:t>单位</w:t>
            </w:r>
          </w:p>
        </w:tc>
        <w:tc>
          <w:tcPr>
            <w:tcW w:w="425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宋体" w:hAnsi="宋体" w:eastAsia="宋体" w:cs="宋体"/>
                <w:color w:val="000000"/>
                <w:sz w:val="18"/>
                <w:szCs w:val="18"/>
                <w:lang w:eastAsia="zh-CN"/>
              </w:rPr>
            </w:pPr>
            <w:r>
              <w:rPr>
                <w:rFonts w:ascii="宋体" w:hAnsi="宋体" w:cs="宋体"/>
                <w:color w:val="000000"/>
                <w:kern w:val="0"/>
                <w:sz w:val="18"/>
                <w:szCs w:val="18"/>
              </w:rPr>
              <w:t>苍溪县人民法院</w:t>
            </w:r>
            <w:r>
              <w:rPr>
                <w:rFonts w:hint="eastAsia" w:ascii="宋体" w:hAnsi="宋体" w:cs="宋体"/>
                <w:color w:val="000000"/>
                <w:kern w:val="0"/>
                <w:sz w:val="18"/>
                <w:szCs w:val="18"/>
                <w:lang w:eastAsia="zh-CN"/>
              </w:rPr>
              <w:t>单位</w:t>
            </w:r>
          </w:p>
        </w:tc>
        <w:tc>
          <w:tcPr>
            <w:tcW w:w="1147" w:type="dxa"/>
            <w:gridSpan w:val="2"/>
            <w:tcBorders>
              <w:top w:val="nil"/>
              <w:left w:val="nil"/>
              <w:bottom w:val="nil"/>
              <w:right w:val="nil"/>
            </w:tcBorders>
            <w:shd w:val="clear" w:color="auto" w:fill="auto"/>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实施单位 （盖章）</w:t>
            </w:r>
          </w:p>
        </w:tc>
        <w:tc>
          <w:tcPr>
            <w:tcW w:w="239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苍溪县人民法院</w:t>
            </w:r>
          </w:p>
        </w:tc>
      </w:tr>
      <w:tr>
        <w:trPr>
          <w:trHeight w:val="90" w:hRule="atLeast"/>
          <w:jc w:val="center"/>
        </w:trPr>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项目基本情况</w:t>
            </w:r>
          </w:p>
        </w:tc>
        <w:tc>
          <w:tcPr>
            <w:tcW w:w="1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ascii="宋体" w:hAnsi="宋体" w:cs="宋体"/>
                <w:color w:val="000000"/>
                <w:kern w:val="0"/>
                <w:sz w:val="18"/>
                <w:szCs w:val="18"/>
              </w:rPr>
              <w:t>1.项目年度目标完成情况</w:t>
            </w:r>
          </w:p>
        </w:tc>
        <w:tc>
          <w:tcPr>
            <w:tcW w:w="425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项目年度目标</w:t>
            </w:r>
          </w:p>
        </w:tc>
        <w:tc>
          <w:tcPr>
            <w:tcW w:w="354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年度目标完成情况</w:t>
            </w:r>
          </w:p>
        </w:tc>
      </w:tr>
      <w:tr>
        <w:tblPrEx>
          <w:tblCellMar>
            <w:top w:w="0" w:type="dxa"/>
            <w:left w:w="108" w:type="dxa"/>
            <w:bottom w:w="0" w:type="dxa"/>
            <w:right w:w="108" w:type="dxa"/>
          </w:tblCellMar>
        </w:tblPrEx>
        <w:trPr>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1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宋体" w:hAnsi="宋体" w:cs="宋体"/>
                <w:color w:val="000000"/>
                <w:sz w:val="18"/>
                <w:szCs w:val="18"/>
              </w:rPr>
            </w:pPr>
          </w:p>
        </w:tc>
        <w:tc>
          <w:tcPr>
            <w:tcW w:w="425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用于执行办案所需的差旅费、公务用车运行维护费、执行所需业务宣传费，以及执行专项活动的开展等，保障我院执行工作的顺利开展，完成本年度执行案件数量，保障法院工作的正常进行。</w:t>
            </w:r>
          </w:p>
        </w:tc>
        <w:tc>
          <w:tcPr>
            <w:tcW w:w="3541"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我院2023年案件执行经费项目完成情况较好，拨款19.56万，支付19.56万，完成执行进度100%。</w:t>
            </w:r>
          </w:p>
        </w:tc>
      </w:tr>
      <w:tr>
        <w:tblPrEx>
          <w:tblCellMar>
            <w:top w:w="0" w:type="dxa"/>
            <w:left w:w="108" w:type="dxa"/>
            <w:bottom w:w="0" w:type="dxa"/>
            <w:right w:w="108" w:type="dxa"/>
          </w:tblCellMar>
        </w:tblPrEx>
        <w:trPr>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宋体" w:hAnsi="宋体" w:cs="宋体"/>
                <w:color w:val="000000"/>
                <w:sz w:val="18"/>
                <w:szCs w:val="18"/>
              </w:rPr>
            </w:pPr>
            <w:r>
              <w:rPr>
                <w:rFonts w:ascii="宋体" w:hAnsi="宋体" w:cs="宋体"/>
                <w:color w:val="000000"/>
                <w:kern w:val="0"/>
                <w:sz w:val="18"/>
                <w:szCs w:val="18"/>
              </w:rPr>
              <w:t>2.项目实施内容及过程概述</w:t>
            </w:r>
          </w:p>
        </w:tc>
        <w:tc>
          <w:tcPr>
            <w:tcW w:w="7792"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宋体" w:hAnsi="宋体" w:cs="宋体"/>
                <w:color w:val="000000"/>
                <w:sz w:val="18"/>
                <w:szCs w:val="18"/>
              </w:rPr>
            </w:pPr>
          </w:p>
        </w:tc>
      </w:tr>
      <w:tr>
        <w:tblPrEx>
          <w:tblCellMar>
            <w:top w:w="0" w:type="dxa"/>
            <w:left w:w="108" w:type="dxa"/>
            <w:bottom w:w="0" w:type="dxa"/>
            <w:right w:w="108" w:type="dxa"/>
          </w:tblCellMar>
        </w:tblPrEx>
        <w:trPr>
          <w:gridAfter w:val="1"/>
          <w:wAfter w:w="6" w:type="dxa"/>
          <w:trHeight w:val="90" w:hRule="atLeast"/>
          <w:jc w:val="center"/>
        </w:trPr>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预算执行情况（10分）</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年度预算数（万元）</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年初预算</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调整后预算数</w:t>
            </w:r>
          </w:p>
        </w:tc>
        <w:tc>
          <w:tcPr>
            <w:tcW w:w="22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预算执行数</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预算执行率</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原因</w:t>
            </w:r>
          </w:p>
        </w:tc>
      </w:tr>
      <w:tr>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总额</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19.56</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19.56</w:t>
            </w:r>
          </w:p>
        </w:tc>
        <w:tc>
          <w:tcPr>
            <w:tcW w:w="22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19.56</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8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其中：财政资金</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19.56</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19.56</w:t>
            </w:r>
          </w:p>
        </w:tc>
        <w:tc>
          <w:tcPr>
            <w:tcW w:w="22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19.56</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100.00%</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财政专户管理资金</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2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单位资金</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22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0.00%</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黑体" w:hAnsi="黑体" w:eastAsia="黑体" w:cs="黑体"/>
                <w:i/>
                <w:iCs/>
                <w:color w:val="000000"/>
                <w:sz w:val="18"/>
                <w:szCs w:val="18"/>
              </w:rPr>
            </w:pPr>
          </w:p>
        </w:tc>
      </w:tr>
      <w:tr>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其他资金</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c>
          <w:tcPr>
            <w:tcW w:w="225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黑体" w:hAnsi="黑体" w:eastAsia="黑体" w:cs="黑体"/>
                <w:i/>
                <w:iCs/>
                <w:color w:val="000000"/>
                <w:sz w:val="18"/>
                <w:szCs w:val="18"/>
              </w:rPr>
            </w:pPr>
          </w:p>
        </w:tc>
      </w:tr>
      <w:tr>
        <w:tblPrEx>
          <w:tblCellMar>
            <w:top w:w="0" w:type="dxa"/>
            <w:left w:w="108" w:type="dxa"/>
            <w:bottom w:w="0" w:type="dxa"/>
            <w:right w:w="108" w:type="dxa"/>
          </w:tblCellMar>
        </w:tblPrEx>
        <w:trPr>
          <w:gridAfter w:val="1"/>
          <w:wAfter w:w="6" w:type="dxa"/>
          <w:trHeight w:val="90" w:hRule="atLeast"/>
          <w:jc w:val="center"/>
        </w:trPr>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绩效指标（90分）</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一级指标</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二级指标</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三级指标</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指标性质</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指标值</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kern w:val="0"/>
                <w:sz w:val="18"/>
                <w:szCs w:val="18"/>
              </w:rPr>
            </w:pPr>
            <w:r>
              <w:rPr>
                <w:rFonts w:ascii="宋体" w:hAnsi="宋体" w:cs="宋体"/>
                <w:color w:val="000000"/>
                <w:kern w:val="0"/>
                <w:sz w:val="18"/>
                <w:szCs w:val="18"/>
              </w:rPr>
              <w:t>度量</w:t>
            </w:r>
          </w:p>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单位</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完成值</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权重</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得分</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未完成原因分析</w:t>
            </w:r>
          </w:p>
        </w:tc>
      </w:tr>
      <w:tr>
        <w:tblPrEx>
          <w:tblCellMar>
            <w:top w:w="0" w:type="dxa"/>
            <w:left w:w="108" w:type="dxa"/>
            <w:bottom w:w="0" w:type="dxa"/>
            <w:right w:w="108" w:type="dxa"/>
          </w:tblCellMar>
        </w:tblPrEx>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产出指标</w:t>
            </w:r>
          </w:p>
        </w:tc>
        <w:tc>
          <w:tcPr>
            <w:tcW w:w="10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数量指标</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开展法制宣传数</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出差办公人次</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50</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次</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50</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法官人均结案数</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200</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件</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200</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质量指标</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按时发放所需费用，提升干警工作效率</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时效指标</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项目完成时间</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年</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效益指标</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社会效益指标</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推动我县发展大局，维护社会和平稳定</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可持续发展指标</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促进法制化社会建设，深化司法改革</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定性</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宋体" w:hAnsi="宋体" w:cs="宋体"/>
                <w:color w:val="000000"/>
                <w:sz w:val="18"/>
                <w:szCs w:val="18"/>
              </w:rPr>
            </w:pP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好</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满意度指标</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服务对象满意度指标</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干警满意度</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90</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gridAfter w:val="1"/>
          <w:wAfter w:w="6" w:type="dxa"/>
          <w:trHeight w:val="90" w:hRule="atLeast"/>
          <w:jc w:val="center"/>
        </w:trPr>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成本指标</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经济成本指标</w:t>
            </w:r>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完成项目所需成本</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19.56</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万</w:t>
            </w:r>
          </w:p>
        </w:tc>
        <w:tc>
          <w:tcPr>
            <w:tcW w:w="87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19.56</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jc w:val="center"/>
              <w:rPr>
                <w:rFonts w:ascii="微软雅黑" w:hAnsi="微软雅黑" w:eastAsia="微软雅黑" w:cs="微软雅黑"/>
                <w:i/>
                <w:iCs/>
                <w:color w:val="000000"/>
                <w:sz w:val="16"/>
                <w:szCs w:val="16"/>
              </w:rPr>
            </w:pPr>
          </w:p>
        </w:tc>
      </w:tr>
      <w:tr>
        <w:tblPrEx>
          <w:tblCellMar>
            <w:top w:w="0" w:type="dxa"/>
            <w:left w:w="108" w:type="dxa"/>
            <w:bottom w:w="0" w:type="dxa"/>
            <w:right w:w="108" w:type="dxa"/>
          </w:tblCellMar>
        </w:tblPrEx>
        <w:trPr>
          <w:trHeight w:val="90" w:hRule="atLeast"/>
          <w:jc w:val="center"/>
        </w:trPr>
        <w:tc>
          <w:tcPr>
            <w:tcW w:w="7544"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合计</w:t>
            </w:r>
          </w:p>
        </w:tc>
        <w:tc>
          <w:tcPr>
            <w:tcW w:w="7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textAlignment w:val="center"/>
              <w:rPr>
                <w:rFonts w:ascii="宋体" w:hAnsi="宋体" w:cs="宋体"/>
                <w:color w:val="000000"/>
                <w:sz w:val="18"/>
                <w:szCs w:val="18"/>
              </w:rPr>
            </w:pPr>
            <w:r>
              <w:rPr>
                <w:rFonts w:ascii="宋体" w:hAnsi="宋体" w:cs="宋体"/>
                <w:color w:val="000000"/>
                <w:kern w:val="0"/>
                <w:sz w:val="18"/>
                <w:szCs w:val="18"/>
              </w:rPr>
              <w:t>100</w:t>
            </w:r>
          </w:p>
        </w:tc>
        <w:tc>
          <w:tcPr>
            <w:tcW w:w="9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exact"/>
              <w:rPr>
                <w:rFonts w:ascii="宋体" w:hAnsi="宋体" w:cs="宋体"/>
                <w:color w:val="000000"/>
                <w:sz w:val="18"/>
                <w:szCs w:val="18"/>
              </w:rPr>
            </w:pPr>
          </w:p>
        </w:tc>
      </w:tr>
      <w:tr>
        <w:trPr>
          <w:trHeight w:val="90" w:hRule="atLeast"/>
          <w:jc w:val="center"/>
        </w:trPr>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评价结论</w:t>
            </w:r>
          </w:p>
        </w:tc>
        <w:tc>
          <w:tcPr>
            <w:tcW w:w="8963"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我院2023年案件执行经费项目完成情况较好，拨款19.56万，支付19.56万，完成执行进度100%，保障我院执行工作的顺利开展，完成本年度执行案件数量，保障法院工作的正常进行。</w:t>
            </w:r>
          </w:p>
        </w:tc>
      </w:tr>
      <w:tr>
        <w:tblPrEx>
          <w:tblCellMar>
            <w:top w:w="0" w:type="dxa"/>
            <w:left w:w="108" w:type="dxa"/>
            <w:bottom w:w="0" w:type="dxa"/>
            <w:right w:w="108" w:type="dxa"/>
          </w:tblCellMar>
        </w:tblPrEx>
        <w:trPr>
          <w:trHeight w:val="90" w:hRule="atLeast"/>
          <w:jc w:val="center"/>
        </w:trPr>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存在问题</w:t>
            </w:r>
          </w:p>
        </w:tc>
        <w:tc>
          <w:tcPr>
            <w:tcW w:w="8963"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tblPrEx>
          <w:tblCellMar>
            <w:top w:w="0" w:type="dxa"/>
            <w:left w:w="108" w:type="dxa"/>
            <w:bottom w:w="0" w:type="dxa"/>
            <w:right w:w="108" w:type="dxa"/>
          </w:tblCellMar>
        </w:tblPrEx>
        <w:trPr>
          <w:trHeight w:val="90" w:hRule="atLeast"/>
          <w:jc w:val="center"/>
        </w:trPr>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ascii="宋体" w:hAnsi="宋体" w:cs="宋体"/>
                <w:color w:val="000000"/>
                <w:kern w:val="0"/>
                <w:sz w:val="18"/>
                <w:szCs w:val="18"/>
              </w:rPr>
              <w:t>改进措施</w:t>
            </w:r>
          </w:p>
        </w:tc>
        <w:tc>
          <w:tcPr>
            <w:tcW w:w="8963"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textAlignment w:val="center"/>
              <w:rPr>
                <w:rFonts w:ascii="微软雅黑" w:hAnsi="微软雅黑" w:eastAsia="微软雅黑" w:cs="微软雅黑"/>
                <w:i/>
                <w:iCs/>
                <w:color w:val="000000"/>
                <w:sz w:val="16"/>
                <w:szCs w:val="16"/>
              </w:rPr>
            </w:pPr>
            <w:r>
              <w:rPr>
                <w:rFonts w:hint="eastAsia" w:ascii="微软雅黑" w:hAnsi="微软雅黑" w:eastAsia="微软雅黑" w:cs="微软雅黑"/>
                <w:i/>
                <w:iCs/>
                <w:color w:val="000000"/>
                <w:kern w:val="0"/>
                <w:sz w:val="16"/>
                <w:szCs w:val="16"/>
              </w:rPr>
              <w:t>无</w:t>
            </w:r>
          </w:p>
        </w:tc>
      </w:tr>
      <w:tr>
        <w:tblPrEx>
          <w:tblCellMar>
            <w:top w:w="0" w:type="dxa"/>
            <w:left w:w="108" w:type="dxa"/>
            <w:bottom w:w="0" w:type="dxa"/>
            <w:right w:w="108" w:type="dxa"/>
          </w:tblCellMar>
        </w:tblPrEx>
        <w:trPr>
          <w:trHeight w:val="90" w:hRule="atLeast"/>
          <w:jc w:val="center"/>
        </w:trPr>
        <w:tc>
          <w:tcPr>
            <w:tcW w:w="508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项目负责人：陈萍</w:t>
            </w:r>
          </w:p>
        </w:tc>
        <w:tc>
          <w:tcPr>
            <w:tcW w:w="485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黑体" w:hAnsi="黑体" w:eastAsia="黑体" w:cs="黑体"/>
                <w:color w:val="000000"/>
                <w:sz w:val="18"/>
                <w:szCs w:val="18"/>
              </w:rPr>
            </w:pPr>
            <w:r>
              <w:rPr>
                <w:rFonts w:hint="eastAsia" w:ascii="黑体" w:hAnsi="黑体" w:eastAsia="黑体" w:cs="黑体"/>
                <w:color w:val="000000"/>
                <w:kern w:val="0"/>
                <w:sz w:val="18"/>
                <w:szCs w:val="18"/>
              </w:rPr>
              <w:t>财务负责人：李锦桦</w:t>
            </w:r>
          </w:p>
        </w:tc>
      </w:tr>
    </w:tbl>
    <w:p>
      <w:pPr>
        <w:rPr>
          <w:rFonts w:ascii="黑体" w:hAnsi="黑体" w:eastAsia="黑体"/>
          <w:sz w:val="44"/>
          <w:szCs w:val="44"/>
        </w:rPr>
        <w:sectPr>
          <w:footerReference r:id="rId8" w:type="default"/>
          <w:pgSz w:w="11906" w:h="16838"/>
          <w:pgMar w:top="1440" w:right="1701" w:bottom="1440" w:left="1701" w:header="851" w:footer="992" w:gutter="0"/>
          <w:cols w:space="425" w:num="1"/>
          <w:docGrid w:type="linesAndChars" w:linePitch="312" w:charSpace="0"/>
        </w:sectPr>
      </w:pPr>
    </w:p>
    <w:tbl>
      <w:tblPr>
        <w:tblW w:w="114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686"/>
        <w:gridCol w:w="1494"/>
        <w:gridCol w:w="1248"/>
        <w:gridCol w:w="1532"/>
        <w:gridCol w:w="520"/>
        <w:gridCol w:w="1245"/>
        <w:gridCol w:w="396"/>
        <w:gridCol w:w="1086"/>
        <w:gridCol w:w="509"/>
        <w:gridCol w:w="576"/>
        <w:gridCol w:w="21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1430"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bdr w:val="none" w:color="auto" w:sz="0" w:space="0"/>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222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项目名称</w:t>
            </w:r>
          </w:p>
        </w:tc>
        <w:tc>
          <w:tcPr>
            <w:tcW w:w="9210"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22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主管部门</w:t>
            </w:r>
          </w:p>
        </w:tc>
        <w:tc>
          <w:tcPr>
            <w:tcW w:w="496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苍溪县人民法院部门</w:t>
            </w:r>
          </w:p>
        </w:tc>
        <w:tc>
          <w:tcPr>
            <w:tcW w:w="1095" w:type="dxa"/>
            <w:tcBorders>
              <w:top w:val="nil"/>
              <w:left w:val="nil"/>
              <w:bottom w:val="nil"/>
              <w:right w:val="nil"/>
            </w:tcBorders>
            <w:shd w:val="clear"/>
            <w:vAlign w:val="center"/>
          </w:tcPr>
          <w:p>
            <w:pPr>
              <w:keepNext w:val="0"/>
              <w:keepLines w:val="0"/>
              <w:widowControl/>
              <w:suppressLineNumbers w:val="0"/>
              <w:jc w:val="left"/>
              <w:textAlignment w:val="center"/>
              <w:rPr>
                <w:rFonts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实施单位 （盖章）</w:t>
            </w:r>
          </w:p>
        </w:tc>
        <w:tc>
          <w:tcPr>
            <w:tcW w:w="315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苍溪县人民法院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项目基本情况</w:t>
            </w:r>
          </w:p>
        </w:tc>
        <w:tc>
          <w:tcPr>
            <w:tcW w:w="15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1.项目年度目标完成情况</w:t>
            </w:r>
          </w:p>
        </w:tc>
        <w:tc>
          <w:tcPr>
            <w:tcW w:w="496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项目年度目标</w:t>
            </w:r>
          </w:p>
        </w:tc>
        <w:tc>
          <w:tcPr>
            <w:tcW w:w="4245"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153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496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4245"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按照规定，足额发放我院166人工资和保险，发放率和参保率均为100%。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2.项目实施内容及过程概述</w:t>
            </w:r>
          </w:p>
        </w:tc>
        <w:tc>
          <w:tcPr>
            <w:tcW w:w="9210" w:type="dxa"/>
            <w:gridSpan w:val="9"/>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预算执行情况（10分）</w:t>
            </w: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年度预算数（万元）</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年初预算</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调整后预算数</w:t>
            </w:r>
          </w:p>
        </w:tc>
        <w:tc>
          <w:tcPr>
            <w:tcW w:w="21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预算执行数</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总额</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1,589.03</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1,590.53</w:t>
            </w:r>
          </w:p>
        </w:tc>
        <w:tc>
          <w:tcPr>
            <w:tcW w:w="21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1,542.64</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96.99%</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9.7</w:t>
            </w:r>
          </w:p>
        </w:tc>
        <w:tc>
          <w:tcPr>
            <w:tcW w:w="21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bdr w:val="none" w:color="auto" w:sz="0" w:space="0"/>
                <w:lang w:val="en-US" w:eastAsia="zh-CN" w:bidi="ar"/>
              </w:rPr>
              <w:t>由于人员流动较大，年初预算和年末支付有一定的差额，导致资金执行未达到100%。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其中：财政资金</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1,589.03</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1,590.53</w:t>
            </w:r>
          </w:p>
        </w:tc>
        <w:tc>
          <w:tcPr>
            <w:tcW w:w="21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1,542.64</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96.99%</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财政专户管理资金</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21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单位资金</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21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其他资金</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微软雅黑" w:hAnsi="微软雅黑" w:eastAsia="微软雅黑" w:cs="微软雅黑"/>
                <w:i/>
                <w:color w:val="000000"/>
                <w:sz w:val="16"/>
                <w:szCs w:val="16"/>
                <w:u w:val="none"/>
              </w:rPr>
            </w:pP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c>
          <w:tcPr>
            <w:tcW w:w="2160"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绩效指标（90分）</w:t>
            </w: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一级指标</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二级指标</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三级指标</w:t>
            </w:r>
          </w:p>
        </w:tc>
        <w:tc>
          <w:tcPr>
            <w:tcW w:w="5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指标性质</w:t>
            </w:r>
          </w:p>
        </w:tc>
        <w:tc>
          <w:tcPr>
            <w:tcW w:w="12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指标值</w:t>
            </w:r>
          </w:p>
        </w:tc>
        <w:tc>
          <w:tcPr>
            <w:tcW w:w="3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度量单位</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产出指标</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数量指标</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发放（缴纳）覆盖率</w:t>
            </w:r>
          </w:p>
        </w:tc>
        <w:tc>
          <w:tcPr>
            <w:tcW w:w="5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2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3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60</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60</w:t>
            </w:r>
          </w:p>
        </w:tc>
        <w:tc>
          <w:tcPr>
            <w:tcW w:w="219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效益指标</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社会效益指标</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足额保障率（参保率）</w:t>
            </w:r>
          </w:p>
        </w:tc>
        <w:tc>
          <w:tcPr>
            <w:tcW w:w="5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2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3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219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280"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99.7</w:t>
            </w:r>
          </w:p>
        </w:tc>
        <w:tc>
          <w:tcPr>
            <w:tcW w:w="219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评价结论</w:t>
            </w:r>
          </w:p>
        </w:tc>
        <w:tc>
          <w:tcPr>
            <w:tcW w:w="10740"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bdr w:val="none" w:color="auto" w:sz="0" w:space="0"/>
                <w:lang w:val="en-US" w:eastAsia="zh-CN" w:bidi="ar"/>
              </w:rPr>
              <w:t>我院2023年工资性支出项目情况较好，支付比例96.99%，按照规定，足额发放我院166人工资和保险，发放率和参保率均为100%，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存在问题</w:t>
            </w:r>
          </w:p>
        </w:tc>
        <w:tc>
          <w:tcPr>
            <w:tcW w:w="10740"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bdr w:val="none" w:color="auto" w:sz="0" w:space="0"/>
                <w:lang w:val="en-US" w:eastAsia="zh-CN" w:bidi="ar"/>
              </w:rPr>
              <w:t>由于人员流动较大，年初预算和年末支付有一定的差额，导致资金执行未达到100%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改进措施</w:t>
            </w:r>
          </w:p>
        </w:tc>
        <w:tc>
          <w:tcPr>
            <w:tcW w:w="10740"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bdr w:val="none" w:color="auto" w:sz="0" w:space="0"/>
                <w:lang w:val="en-US" w:eastAsia="zh-CN" w:bidi="ar"/>
              </w:rPr>
              <w:t>预算资金使用计划性有待加强，完善用款计划管理，更科学合理的编制资金使用计划，进一步细化收支项目、按时间、按进度支出，提高资金的使用效益。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550"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项目负责人：陈萍</w:t>
            </w:r>
          </w:p>
        </w:tc>
        <w:tc>
          <w:tcPr>
            <w:tcW w:w="5880"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财务负责人：李锦桦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0"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530"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260"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545"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525"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275"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360"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095"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510"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450"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2190"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1430"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bdr w:val="none" w:color="auto" w:sz="0" w:space="0"/>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222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项目名称</w:t>
            </w:r>
          </w:p>
        </w:tc>
        <w:tc>
          <w:tcPr>
            <w:tcW w:w="9210"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51000021R000000019958-其他支出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22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主管部门</w:t>
            </w:r>
          </w:p>
        </w:tc>
        <w:tc>
          <w:tcPr>
            <w:tcW w:w="496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苍溪县人民法院部门</w:t>
            </w:r>
          </w:p>
        </w:tc>
        <w:tc>
          <w:tcPr>
            <w:tcW w:w="1095" w:type="dxa"/>
            <w:tcBorders>
              <w:top w:val="nil"/>
              <w:left w:val="nil"/>
              <w:bottom w:val="nil"/>
              <w:right w:val="nil"/>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实施单位 （盖章）</w:t>
            </w:r>
          </w:p>
        </w:tc>
        <w:tc>
          <w:tcPr>
            <w:tcW w:w="315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苍溪县人民法院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项目基本情况</w:t>
            </w:r>
          </w:p>
        </w:tc>
        <w:tc>
          <w:tcPr>
            <w:tcW w:w="15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1.项目年度目标完成情况</w:t>
            </w:r>
          </w:p>
        </w:tc>
        <w:tc>
          <w:tcPr>
            <w:tcW w:w="496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项目年度目标</w:t>
            </w:r>
          </w:p>
        </w:tc>
        <w:tc>
          <w:tcPr>
            <w:tcW w:w="4245"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153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496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严格执行相关政策，保障工资及时、足额发放或社保及时、足额缴纳，预算编制科学合理，减少结余资金。</w:t>
            </w:r>
          </w:p>
        </w:tc>
        <w:tc>
          <w:tcPr>
            <w:tcW w:w="4245"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按照规定，足额发放我院166人工资和保险，发放率和参保率均为100%。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2.项目实施内容及过程概述</w:t>
            </w:r>
          </w:p>
        </w:tc>
        <w:tc>
          <w:tcPr>
            <w:tcW w:w="9210" w:type="dxa"/>
            <w:gridSpan w:val="9"/>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预算执行情况（10分）</w:t>
            </w: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年度预算数（万元）</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年初预算</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调整后预算数</w:t>
            </w:r>
          </w:p>
        </w:tc>
        <w:tc>
          <w:tcPr>
            <w:tcW w:w="21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预算执行数</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总额</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3.76</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3.76</w:t>
            </w:r>
          </w:p>
        </w:tc>
        <w:tc>
          <w:tcPr>
            <w:tcW w:w="21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3.62</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96.23%</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9.6</w:t>
            </w:r>
          </w:p>
        </w:tc>
        <w:tc>
          <w:tcPr>
            <w:tcW w:w="21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bdr w:val="none" w:color="auto" w:sz="0" w:space="0"/>
                <w:lang w:val="en-US" w:eastAsia="zh-CN" w:bidi="ar"/>
              </w:rPr>
              <w:t>由于人员流动较大，年初预算和年末支付有一定的差额，导致资金执行未达到100%。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其中：财政资金</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3.76</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3.76</w:t>
            </w:r>
          </w:p>
        </w:tc>
        <w:tc>
          <w:tcPr>
            <w:tcW w:w="21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3.62</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96.23%</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财政专户管理资金</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21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单位资金</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21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其他资金</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c>
          <w:tcPr>
            <w:tcW w:w="2160"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绩效指标（90分）</w:t>
            </w: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一级指标</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二级指标</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三级指标</w:t>
            </w:r>
          </w:p>
        </w:tc>
        <w:tc>
          <w:tcPr>
            <w:tcW w:w="5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指标性质</w:t>
            </w:r>
          </w:p>
        </w:tc>
        <w:tc>
          <w:tcPr>
            <w:tcW w:w="12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指标值</w:t>
            </w:r>
          </w:p>
        </w:tc>
        <w:tc>
          <w:tcPr>
            <w:tcW w:w="3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度量单位</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产出指标</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数量指标</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发放（缴纳）覆盖率</w:t>
            </w:r>
          </w:p>
        </w:tc>
        <w:tc>
          <w:tcPr>
            <w:tcW w:w="5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2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3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60</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60</w:t>
            </w:r>
          </w:p>
        </w:tc>
        <w:tc>
          <w:tcPr>
            <w:tcW w:w="219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效益指标</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社会效益指标</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足额保障率（参保率）</w:t>
            </w:r>
          </w:p>
        </w:tc>
        <w:tc>
          <w:tcPr>
            <w:tcW w:w="5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2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3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219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280"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99.6</w:t>
            </w:r>
          </w:p>
        </w:tc>
        <w:tc>
          <w:tcPr>
            <w:tcW w:w="219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评价结论</w:t>
            </w:r>
          </w:p>
        </w:tc>
        <w:tc>
          <w:tcPr>
            <w:tcW w:w="10740"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bdr w:val="none" w:color="auto" w:sz="0" w:space="0"/>
                <w:lang w:val="en-US" w:eastAsia="zh-CN" w:bidi="ar"/>
              </w:rPr>
              <w:t>我院2023年工资性支出项目情况较好，支付比例96.99%，按照规定，足额发放我院166人工资和保险，发放率和参保率均为100%，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存在问题</w:t>
            </w:r>
          </w:p>
        </w:tc>
        <w:tc>
          <w:tcPr>
            <w:tcW w:w="10740"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bdr w:val="none" w:color="auto" w:sz="0" w:space="0"/>
                <w:lang w:val="en-US" w:eastAsia="zh-CN" w:bidi="ar"/>
              </w:rPr>
              <w:t>由于人员流动较大，年初预算和年末支付有一定的差额，导致资金执行未达到100%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改进措施</w:t>
            </w:r>
          </w:p>
        </w:tc>
        <w:tc>
          <w:tcPr>
            <w:tcW w:w="10740"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bdr w:val="none" w:color="auto" w:sz="0" w:space="0"/>
                <w:lang w:val="en-US" w:eastAsia="zh-CN" w:bidi="ar"/>
              </w:rPr>
              <w:t>预算资金使用计划性有待加强，完善用款计划管理，更科学合理的编制资金使用计划，进一步细化收支项目、按时间、按进度支出，提高资金的使用效益。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550"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项目负责人：陈萍</w:t>
            </w:r>
          </w:p>
        </w:tc>
        <w:tc>
          <w:tcPr>
            <w:tcW w:w="5880"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财务负责人：李锦桦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0"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530"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260"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545"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525"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275"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360"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095"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510"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450"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2190"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1430"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bdr w:val="none" w:color="auto" w:sz="0" w:space="0"/>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222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项目名称</w:t>
            </w:r>
          </w:p>
        </w:tc>
        <w:tc>
          <w:tcPr>
            <w:tcW w:w="9210"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51000021Y000000011490-日常公用经费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22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主管部门</w:t>
            </w:r>
          </w:p>
        </w:tc>
        <w:tc>
          <w:tcPr>
            <w:tcW w:w="496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苍溪县人民法院部门</w:t>
            </w:r>
          </w:p>
        </w:tc>
        <w:tc>
          <w:tcPr>
            <w:tcW w:w="1095" w:type="dxa"/>
            <w:tcBorders>
              <w:top w:val="nil"/>
              <w:left w:val="nil"/>
              <w:bottom w:val="nil"/>
              <w:right w:val="nil"/>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实施单位 （盖章）</w:t>
            </w:r>
          </w:p>
        </w:tc>
        <w:tc>
          <w:tcPr>
            <w:tcW w:w="315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苍溪县人民法院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项目基本情况</w:t>
            </w:r>
          </w:p>
        </w:tc>
        <w:tc>
          <w:tcPr>
            <w:tcW w:w="15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1.项目年度目标完成情况</w:t>
            </w:r>
          </w:p>
        </w:tc>
        <w:tc>
          <w:tcPr>
            <w:tcW w:w="496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项目年度目标</w:t>
            </w:r>
          </w:p>
        </w:tc>
        <w:tc>
          <w:tcPr>
            <w:tcW w:w="4245"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153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496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提高预算编制质量，严格执行预算，保障单位日常运转。</w:t>
            </w:r>
          </w:p>
        </w:tc>
        <w:tc>
          <w:tcPr>
            <w:tcW w:w="4245"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该项目完成情况较好，拨款151.5万，支付151.5万，完成执行进度100%。保障了日常任务而发生的经费支出，维护了我院工作的正常运转。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2.项目实施内容及过程概述</w:t>
            </w:r>
          </w:p>
        </w:tc>
        <w:tc>
          <w:tcPr>
            <w:tcW w:w="9210" w:type="dxa"/>
            <w:gridSpan w:val="9"/>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预算执行情况（10分）</w:t>
            </w: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年度预算数（万元）</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年初预算</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调整后预算数</w:t>
            </w:r>
          </w:p>
        </w:tc>
        <w:tc>
          <w:tcPr>
            <w:tcW w:w="21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预算执行数</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总额</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151.50</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151.50</w:t>
            </w:r>
          </w:p>
        </w:tc>
        <w:tc>
          <w:tcPr>
            <w:tcW w:w="21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151.50</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2190" w:type="dxa"/>
            <w:vMerge w:val="restart"/>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其中：财政资金</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151.50</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151.50</w:t>
            </w:r>
          </w:p>
        </w:tc>
        <w:tc>
          <w:tcPr>
            <w:tcW w:w="21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151.50</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财政专户管理资金</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21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单位资金</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21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其他资金</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c>
          <w:tcPr>
            <w:tcW w:w="2160"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绩效指标（90分）</w:t>
            </w: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一级指标</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二级指标</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三级指标</w:t>
            </w:r>
          </w:p>
        </w:tc>
        <w:tc>
          <w:tcPr>
            <w:tcW w:w="5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指标性质</w:t>
            </w:r>
          </w:p>
        </w:tc>
        <w:tc>
          <w:tcPr>
            <w:tcW w:w="12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指标值</w:t>
            </w:r>
          </w:p>
        </w:tc>
        <w:tc>
          <w:tcPr>
            <w:tcW w:w="3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度量单位</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产出指标</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数量指标</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科目调整次数</w:t>
            </w:r>
          </w:p>
        </w:tc>
        <w:tc>
          <w:tcPr>
            <w:tcW w:w="5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2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w:t>
            </w:r>
          </w:p>
        </w:tc>
        <w:tc>
          <w:tcPr>
            <w:tcW w:w="3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次</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219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质量指标</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预算编制准确率（计算方法为：∣（执行数-预算数）/预算数∣）</w:t>
            </w:r>
          </w:p>
        </w:tc>
        <w:tc>
          <w:tcPr>
            <w:tcW w:w="5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2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w:t>
            </w:r>
          </w:p>
        </w:tc>
        <w:tc>
          <w:tcPr>
            <w:tcW w:w="3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219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效益指标</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经济效益指标</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“三公经费”控制率[计算方法为：（三公经费实际支出数/预算安排数]×100%）</w:t>
            </w:r>
          </w:p>
        </w:tc>
        <w:tc>
          <w:tcPr>
            <w:tcW w:w="5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2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3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219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社会效益指标</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运转保障率</w:t>
            </w:r>
          </w:p>
        </w:tc>
        <w:tc>
          <w:tcPr>
            <w:tcW w:w="5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2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3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219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280"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219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评价结论</w:t>
            </w:r>
          </w:p>
        </w:tc>
        <w:tc>
          <w:tcPr>
            <w:tcW w:w="10740"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bdr w:val="none" w:color="auto" w:sz="0" w:space="0"/>
                <w:lang w:val="en-US" w:eastAsia="zh-CN" w:bidi="ar"/>
              </w:rPr>
              <w:t>该项目完成情况较好，拨款151.5万，支付151.5万，完成执行进度100%。保障了日常任务而发生的经费支出，维护了我院工作的正常运转。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存在问题</w:t>
            </w:r>
          </w:p>
        </w:tc>
        <w:tc>
          <w:tcPr>
            <w:tcW w:w="10740"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改进措施</w:t>
            </w:r>
          </w:p>
        </w:tc>
        <w:tc>
          <w:tcPr>
            <w:tcW w:w="10740"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550"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项目负责人：陈萍</w:t>
            </w:r>
          </w:p>
        </w:tc>
        <w:tc>
          <w:tcPr>
            <w:tcW w:w="5880"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财务负责人：李锦桦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0"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530"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260"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545"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525"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275"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360"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1095"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510"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450"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c>
          <w:tcPr>
            <w:tcW w:w="2190" w:type="dxa"/>
            <w:tcBorders>
              <w:top w:val="nil"/>
              <w:left w:val="nil"/>
              <w:bottom w:val="nil"/>
              <w:right w:val="nil"/>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1430" w:type="dxa"/>
            <w:gridSpan w:val="11"/>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bdr w:val="none" w:color="auto" w:sz="0" w:space="0"/>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222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项目名称</w:t>
            </w:r>
          </w:p>
        </w:tc>
        <w:tc>
          <w:tcPr>
            <w:tcW w:w="9210" w:type="dxa"/>
            <w:gridSpan w:val="9"/>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222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主管部门</w:t>
            </w:r>
          </w:p>
        </w:tc>
        <w:tc>
          <w:tcPr>
            <w:tcW w:w="496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苍溪县人民法院部门</w:t>
            </w:r>
          </w:p>
        </w:tc>
        <w:tc>
          <w:tcPr>
            <w:tcW w:w="1095" w:type="dxa"/>
            <w:tcBorders>
              <w:top w:val="nil"/>
              <w:left w:val="nil"/>
              <w:bottom w:val="nil"/>
              <w:right w:val="nil"/>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实施单位 （盖章）</w:t>
            </w:r>
          </w:p>
        </w:tc>
        <w:tc>
          <w:tcPr>
            <w:tcW w:w="315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苍溪县人民法院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项目基本情况</w:t>
            </w:r>
          </w:p>
        </w:tc>
        <w:tc>
          <w:tcPr>
            <w:tcW w:w="15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1.项目年度目标完成情况</w:t>
            </w:r>
          </w:p>
        </w:tc>
        <w:tc>
          <w:tcPr>
            <w:tcW w:w="496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项目年度目标</w:t>
            </w:r>
          </w:p>
        </w:tc>
        <w:tc>
          <w:tcPr>
            <w:tcW w:w="4245"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153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4965"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提高预算编制质量，严格执行预算，保障单位日常运转。</w:t>
            </w:r>
          </w:p>
        </w:tc>
        <w:tc>
          <w:tcPr>
            <w:tcW w:w="4245" w:type="dxa"/>
            <w:gridSpan w:val="4"/>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该项目完成情况较好，拨款117.03万，支付117.03万，完成执行进度100%。开展多样活动，保障员工正常福利，提高幸福指数。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2.项目实施内容及过程概述</w:t>
            </w:r>
          </w:p>
        </w:tc>
        <w:tc>
          <w:tcPr>
            <w:tcW w:w="9210" w:type="dxa"/>
            <w:gridSpan w:val="9"/>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预算执行情况（10分）</w:t>
            </w: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年度预算数（万元）</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年初预算</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调整后预算数</w:t>
            </w:r>
          </w:p>
        </w:tc>
        <w:tc>
          <w:tcPr>
            <w:tcW w:w="21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预算执行数</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预算执行率</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总额</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117.03</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117.03</w:t>
            </w:r>
          </w:p>
        </w:tc>
        <w:tc>
          <w:tcPr>
            <w:tcW w:w="21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117.03</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w:t>
            </w:r>
          </w:p>
        </w:tc>
        <w:tc>
          <w:tcPr>
            <w:tcW w:w="2190" w:type="dxa"/>
            <w:vMerge w:val="restart"/>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其中：财政资金</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117.03</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117.03</w:t>
            </w:r>
          </w:p>
        </w:tc>
        <w:tc>
          <w:tcPr>
            <w:tcW w:w="21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117.03</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100.00%</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财政专户管理资金</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21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单位资金</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2160"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0.00%</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其他资金</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c>
          <w:tcPr>
            <w:tcW w:w="2160" w:type="dxa"/>
            <w:gridSpan w:val="3"/>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2190" w:type="dxa"/>
            <w:vMerge w:val="continue"/>
            <w:tcBorders>
              <w:top w:val="single" w:color="000000" w:sz="4" w:space="0"/>
              <w:left w:val="single" w:color="000000" w:sz="4" w:space="0"/>
              <w:bottom w:val="single" w:color="000000" w:sz="4" w:space="0"/>
              <w:right w:val="single" w:color="000000" w:sz="4" w:space="0"/>
            </w:tcBorders>
            <w:shd w:val="clear"/>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绩效指标（90分）</w:t>
            </w:r>
          </w:p>
        </w:tc>
        <w:tc>
          <w:tcPr>
            <w:tcW w:w="153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一级指标</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二级指标</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三级指标</w:t>
            </w:r>
          </w:p>
        </w:tc>
        <w:tc>
          <w:tcPr>
            <w:tcW w:w="5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指标性质</w:t>
            </w:r>
          </w:p>
        </w:tc>
        <w:tc>
          <w:tcPr>
            <w:tcW w:w="12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指标值</w:t>
            </w:r>
          </w:p>
        </w:tc>
        <w:tc>
          <w:tcPr>
            <w:tcW w:w="3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度量单位</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完成值</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权重</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得分</w:t>
            </w:r>
          </w:p>
        </w:tc>
        <w:tc>
          <w:tcPr>
            <w:tcW w:w="21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产出指标</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数量指标</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科目调整次数</w:t>
            </w:r>
          </w:p>
        </w:tc>
        <w:tc>
          <w:tcPr>
            <w:tcW w:w="5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2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w:t>
            </w:r>
          </w:p>
        </w:tc>
        <w:tc>
          <w:tcPr>
            <w:tcW w:w="3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次</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219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质量指标</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预算编制准确率（计算方法为：∣（执行数-预算数）/预算数∣）</w:t>
            </w:r>
          </w:p>
        </w:tc>
        <w:tc>
          <w:tcPr>
            <w:tcW w:w="5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2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5</w:t>
            </w:r>
          </w:p>
        </w:tc>
        <w:tc>
          <w:tcPr>
            <w:tcW w:w="3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30</w:t>
            </w:r>
          </w:p>
        </w:tc>
        <w:tc>
          <w:tcPr>
            <w:tcW w:w="219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效益指标</w:t>
            </w: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经济效益指标</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“三公经费”控制率[计算方法为：（三公经费实际支出数/预算安排数]×100%）</w:t>
            </w:r>
          </w:p>
        </w:tc>
        <w:tc>
          <w:tcPr>
            <w:tcW w:w="5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2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3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219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530"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color w:val="000000"/>
                <w:sz w:val="18"/>
                <w:szCs w:val="18"/>
                <w:u w:val="none"/>
              </w:rPr>
            </w:pPr>
          </w:p>
        </w:tc>
        <w:tc>
          <w:tcPr>
            <w:tcW w:w="12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社会效益指标</w:t>
            </w:r>
          </w:p>
        </w:tc>
        <w:tc>
          <w:tcPr>
            <w:tcW w:w="154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运转保障率</w:t>
            </w:r>
          </w:p>
        </w:tc>
        <w:tc>
          <w:tcPr>
            <w:tcW w:w="52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275"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36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20</w:t>
            </w:r>
          </w:p>
        </w:tc>
        <w:tc>
          <w:tcPr>
            <w:tcW w:w="2190"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8280" w:type="dxa"/>
            <w:gridSpan w:val="8"/>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合计</w:t>
            </w:r>
          </w:p>
        </w:tc>
        <w:tc>
          <w:tcPr>
            <w:tcW w:w="51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45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100</w:t>
            </w:r>
          </w:p>
        </w:tc>
        <w:tc>
          <w:tcPr>
            <w:tcW w:w="2190"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4" w:hRule="atLeast"/>
        </w:trPr>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评价结论</w:t>
            </w:r>
          </w:p>
        </w:tc>
        <w:tc>
          <w:tcPr>
            <w:tcW w:w="10740"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bdr w:val="none" w:color="auto" w:sz="0" w:space="0"/>
                <w:lang w:val="en-US" w:eastAsia="zh-CN" w:bidi="ar"/>
              </w:rPr>
              <w:t>该项目完成情况较好，拨款117.03万，支付117.03万，完成执行进度100%。开展多样活动，保障员工正常福利，提高幸福指数。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存在问题</w:t>
            </w:r>
          </w:p>
        </w:tc>
        <w:tc>
          <w:tcPr>
            <w:tcW w:w="10740"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trPr>
        <w:tc>
          <w:tcPr>
            <w:tcW w:w="69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bdr w:val="none" w:color="auto" w:sz="0" w:space="0"/>
                <w:lang w:val="en-US" w:eastAsia="zh-CN" w:bidi="ar"/>
              </w:rPr>
              <w:t>改进措施</w:t>
            </w:r>
          </w:p>
        </w:tc>
        <w:tc>
          <w:tcPr>
            <w:tcW w:w="10740" w:type="dxa"/>
            <w:gridSpan w:val="10"/>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bdr w:val="none" w:color="auto" w:sz="0" w:space="0"/>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5550" w:type="dxa"/>
            <w:gridSpan w:val="5"/>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项目负责人：陈萍</w:t>
            </w:r>
          </w:p>
        </w:tc>
        <w:tc>
          <w:tcPr>
            <w:tcW w:w="5880" w:type="dxa"/>
            <w:gridSpan w:val="6"/>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bdr w:val="none" w:color="auto" w:sz="0" w:space="0"/>
                <w:lang w:val="en-US" w:eastAsia="zh-CN" w:bidi="ar"/>
              </w:rPr>
              <w:t>财务负责人：李锦桦</w:t>
            </w:r>
          </w:p>
        </w:tc>
      </w:tr>
    </w:tbl>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ascii="仿宋" w:hAnsi="仿宋" w:eastAsia="仿宋"/>
        </w:rPr>
      </w:pPr>
      <w:r>
        <w:rPr>
          <w:rFonts w:hint="eastAsia" w:ascii="黑体" w:hAnsi="黑体" w:eastAsia="黑体"/>
          <w:sz w:val="44"/>
          <w:szCs w:val="44"/>
        </w:rPr>
        <w:t>第</w:t>
      </w:r>
      <w:r>
        <w:rPr>
          <w:rStyle w:val="20"/>
          <w:rFonts w:hint="eastAsia" w:ascii="黑体" w:hAnsi="黑体" w:eastAsia="黑体"/>
          <w:b w:val="0"/>
        </w:rPr>
        <w:t>五部分 附表</w:t>
      </w:r>
      <w:bookmarkEnd w:id="43"/>
      <w:bookmarkEnd w:id="44"/>
      <w:bookmarkStart w:id="45" w:name="_Toc15396619"/>
    </w:p>
    <w:p>
      <w:pPr>
        <w:pStyle w:val="4"/>
        <w:keepNext w:val="0"/>
        <w:keepLines w:val="0"/>
        <w:pageBreakBefore w:val="0"/>
        <w:widowControl w:val="0"/>
        <w:kinsoku/>
        <w:wordWrap/>
        <w:overflowPunct/>
        <w:topLinePunct w:val="0"/>
        <w:autoSpaceDE/>
        <w:autoSpaceDN/>
        <w:bidi w:val="0"/>
        <w:adjustRightInd/>
        <w:snapToGrid/>
        <w:spacing w:line="60" w:lineRule="atLeast"/>
        <w:textAlignment w:val="auto"/>
        <w:rPr>
          <w:rFonts w:ascii="仿宋_GB2312" w:hAnsi="仿宋_GB2312" w:eastAsia="仿宋_GB2312" w:cs="仿宋_GB2312"/>
        </w:rPr>
      </w:pPr>
      <w:r>
        <w:rPr>
          <w:rFonts w:hint="eastAsia" w:ascii="仿宋_GB2312" w:hAnsi="仿宋_GB2312" w:eastAsia="仿宋_GB2312" w:cs="仿宋_GB2312"/>
          <w:b w:val="0"/>
        </w:rPr>
        <w:t>一、收</w:t>
      </w:r>
      <w:r>
        <w:rPr>
          <w:rStyle w:val="21"/>
          <w:rFonts w:hint="eastAsia" w:ascii="仿宋_GB2312" w:hAnsi="仿宋_GB2312" w:eastAsia="仿宋_GB2312" w:cs="仿宋_GB2312"/>
          <w:b w:val="0"/>
          <w:bCs w:val="0"/>
        </w:rPr>
        <w:t>入支出决算总表</w:t>
      </w:r>
      <w:bookmarkEnd w:id="45"/>
    </w:p>
    <w:p>
      <w:pPr>
        <w:pStyle w:val="4"/>
        <w:keepNext w:val="0"/>
        <w:keepLines w:val="0"/>
        <w:pageBreakBefore w:val="0"/>
        <w:widowControl w:val="0"/>
        <w:kinsoku/>
        <w:wordWrap/>
        <w:overflowPunct/>
        <w:topLinePunct w:val="0"/>
        <w:autoSpaceDE/>
        <w:autoSpaceDN/>
        <w:bidi w:val="0"/>
        <w:adjustRightInd/>
        <w:snapToGrid/>
        <w:spacing w:line="60" w:lineRule="atLeast"/>
        <w:textAlignment w:val="auto"/>
        <w:rPr>
          <w:rFonts w:ascii="仿宋_GB2312" w:hAnsi="仿宋_GB2312" w:eastAsia="仿宋_GB2312" w:cs="仿宋_GB2312"/>
        </w:rPr>
      </w:pPr>
      <w:bookmarkStart w:id="46" w:name="_Toc15396620"/>
      <w:r>
        <w:rPr>
          <w:rFonts w:hint="eastAsia" w:ascii="仿宋_GB2312" w:hAnsi="仿宋_GB2312" w:eastAsia="仿宋_GB2312" w:cs="仿宋_GB2312"/>
          <w:b w:val="0"/>
        </w:rPr>
        <w:t>二、收</w:t>
      </w:r>
      <w:r>
        <w:rPr>
          <w:rStyle w:val="21"/>
          <w:rFonts w:hint="eastAsia" w:ascii="仿宋_GB2312" w:hAnsi="仿宋_GB2312" w:eastAsia="仿宋_GB2312" w:cs="仿宋_GB2312"/>
          <w:b w:val="0"/>
          <w:bCs w:val="0"/>
        </w:rPr>
        <w:t>入决算表</w:t>
      </w:r>
      <w:bookmarkEnd w:id="46"/>
    </w:p>
    <w:p>
      <w:pPr>
        <w:pStyle w:val="4"/>
        <w:keepNext w:val="0"/>
        <w:keepLines w:val="0"/>
        <w:pageBreakBefore w:val="0"/>
        <w:widowControl w:val="0"/>
        <w:kinsoku/>
        <w:wordWrap/>
        <w:overflowPunct/>
        <w:topLinePunct w:val="0"/>
        <w:autoSpaceDE/>
        <w:autoSpaceDN/>
        <w:bidi w:val="0"/>
        <w:adjustRightInd/>
        <w:snapToGrid/>
        <w:spacing w:line="60" w:lineRule="atLeast"/>
        <w:textAlignment w:val="auto"/>
        <w:rPr>
          <w:rFonts w:hint="eastAsia" w:ascii="仿宋_GB2312" w:hAnsi="仿宋_GB2312" w:eastAsia="仿宋_GB2312" w:cs="仿宋_GB2312"/>
          <w:b w:val="0"/>
        </w:rPr>
      </w:pPr>
      <w:bookmarkStart w:id="47" w:name="_Toc15396621"/>
      <w:r>
        <w:rPr>
          <w:rFonts w:hint="eastAsia" w:ascii="仿宋_GB2312" w:eastAsia="仿宋_GB2312"/>
          <w:bCs w:val="0"/>
        </w:rPr>
        <w:t>三、</w:t>
      </w:r>
      <w:r>
        <w:rPr>
          <w:rFonts w:hint="eastAsia" w:ascii="仿宋_GB2312" w:hAnsi="仿宋_GB2312" w:eastAsia="仿宋_GB2312" w:cs="仿宋_GB2312"/>
          <w:b w:val="0"/>
        </w:rPr>
        <w:t>支</w:t>
      </w:r>
      <w:r>
        <w:rPr>
          <w:rFonts w:hint="eastAsia" w:ascii="仿宋_GB2312" w:eastAsia="仿宋_GB2312"/>
          <w:b w:val="0"/>
          <w:bCs w:val="0"/>
        </w:rPr>
        <w:t>出决算表</w:t>
      </w:r>
      <w:bookmarkEnd w:id="47"/>
    </w:p>
    <w:p>
      <w:pPr>
        <w:pStyle w:val="4"/>
        <w:keepNext w:val="0"/>
        <w:keepLines w:val="0"/>
        <w:pageBreakBefore w:val="0"/>
        <w:widowControl w:val="0"/>
        <w:kinsoku/>
        <w:wordWrap/>
        <w:overflowPunct/>
        <w:topLinePunct w:val="0"/>
        <w:autoSpaceDE/>
        <w:autoSpaceDN/>
        <w:bidi w:val="0"/>
        <w:adjustRightInd/>
        <w:snapToGrid/>
        <w:spacing w:line="60" w:lineRule="atLeast"/>
        <w:textAlignment w:val="auto"/>
        <w:rPr>
          <w:rFonts w:hint="eastAsia" w:ascii="仿宋_GB2312" w:hAnsi="仿宋_GB2312" w:eastAsia="仿宋_GB2312" w:cs="仿宋_GB2312"/>
          <w:b w:val="0"/>
        </w:rPr>
      </w:pPr>
      <w:bookmarkStart w:id="48" w:name="_Toc15396622"/>
      <w:r>
        <w:rPr>
          <w:rFonts w:hint="eastAsia" w:ascii="仿宋_GB2312" w:hAnsi="仿宋_GB2312" w:eastAsia="仿宋_GB2312" w:cs="仿宋_GB2312"/>
          <w:b w:val="0"/>
        </w:rPr>
        <w:t>四、财政拨款收入支出决算总表</w:t>
      </w:r>
      <w:bookmarkEnd w:id="48"/>
    </w:p>
    <w:p>
      <w:pPr>
        <w:pStyle w:val="4"/>
        <w:keepNext w:val="0"/>
        <w:keepLines w:val="0"/>
        <w:pageBreakBefore w:val="0"/>
        <w:widowControl w:val="0"/>
        <w:kinsoku/>
        <w:wordWrap/>
        <w:overflowPunct/>
        <w:topLinePunct w:val="0"/>
        <w:autoSpaceDE/>
        <w:autoSpaceDN/>
        <w:bidi w:val="0"/>
        <w:adjustRightInd/>
        <w:snapToGrid/>
        <w:spacing w:line="60" w:lineRule="atLeast"/>
        <w:textAlignment w:val="auto"/>
        <w:rPr>
          <w:rFonts w:hint="eastAsia" w:ascii="仿宋_GB2312" w:hAnsi="仿宋_GB2312" w:eastAsia="仿宋_GB2312" w:cs="仿宋_GB2312"/>
          <w:b w:val="0"/>
        </w:rPr>
      </w:pPr>
      <w:bookmarkStart w:id="49" w:name="_Toc15396623"/>
      <w:r>
        <w:rPr>
          <w:rFonts w:hint="eastAsia" w:ascii="仿宋_GB2312" w:hAnsi="仿宋_GB2312" w:eastAsia="仿宋_GB2312" w:cs="仿宋_GB2312"/>
          <w:b w:val="0"/>
        </w:rPr>
        <w:t>五、财政拨款支出决算明细表</w:t>
      </w:r>
      <w:bookmarkEnd w:id="49"/>
      <w:bookmarkStart w:id="50" w:name="_Toc15396624"/>
    </w:p>
    <w:p>
      <w:pPr>
        <w:pStyle w:val="4"/>
        <w:keepNext w:val="0"/>
        <w:keepLines w:val="0"/>
        <w:pageBreakBefore w:val="0"/>
        <w:widowControl w:val="0"/>
        <w:kinsoku/>
        <w:wordWrap/>
        <w:overflowPunct/>
        <w:topLinePunct w:val="0"/>
        <w:autoSpaceDE/>
        <w:autoSpaceDN/>
        <w:bidi w:val="0"/>
        <w:adjustRightInd/>
        <w:snapToGrid/>
        <w:spacing w:line="60" w:lineRule="atLeast"/>
        <w:textAlignment w:val="auto"/>
        <w:rPr>
          <w:rFonts w:hint="eastAsia" w:ascii="仿宋_GB2312" w:hAnsi="仿宋_GB2312" w:eastAsia="仿宋_GB2312" w:cs="仿宋_GB2312"/>
          <w:b w:val="0"/>
        </w:rPr>
      </w:pPr>
      <w:r>
        <w:rPr>
          <w:rFonts w:hint="eastAsia" w:ascii="仿宋_GB2312" w:hAnsi="仿宋_GB2312" w:eastAsia="仿宋_GB2312" w:cs="仿宋_GB2312"/>
          <w:b w:val="0"/>
        </w:rPr>
        <w:t>六、一般公共预算财政拨款支出决算表</w:t>
      </w:r>
      <w:bookmarkEnd w:id="50"/>
    </w:p>
    <w:p>
      <w:pPr>
        <w:pStyle w:val="4"/>
        <w:keepNext w:val="0"/>
        <w:keepLines w:val="0"/>
        <w:pageBreakBefore w:val="0"/>
        <w:widowControl w:val="0"/>
        <w:kinsoku/>
        <w:wordWrap/>
        <w:overflowPunct/>
        <w:topLinePunct w:val="0"/>
        <w:autoSpaceDE/>
        <w:autoSpaceDN/>
        <w:bidi w:val="0"/>
        <w:adjustRightInd/>
        <w:snapToGrid/>
        <w:spacing w:line="60" w:lineRule="atLeast"/>
        <w:textAlignment w:val="auto"/>
        <w:rPr>
          <w:rFonts w:hint="eastAsia" w:ascii="仿宋_GB2312" w:hAnsi="仿宋_GB2312" w:eastAsia="仿宋_GB2312" w:cs="仿宋_GB2312"/>
          <w:b w:val="0"/>
        </w:rPr>
      </w:pPr>
      <w:bookmarkStart w:id="51" w:name="_Toc15396625"/>
      <w:r>
        <w:rPr>
          <w:rFonts w:hint="eastAsia" w:ascii="仿宋_GB2312" w:eastAsia="仿宋_GB2312"/>
          <w:b w:val="0"/>
          <w:bCs w:val="0"/>
        </w:rPr>
        <w:t>七、</w:t>
      </w:r>
      <w:r>
        <w:rPr>
          <w:rFonts w:hint="eastAsia" w:ascii="仿宋_GB2312" w:hAnsi="仿宋_GB2312" w:eastAsia="仿宋_GB2312" w:cs="仿宋_GB2312"/>
          <w:b w:val="0"/>
        </w:rPr>
        <w:t>一</w:t>
      </w:r>
      <w:r>
        <w:rPr>
          <w:rFonts w:hint="eastAsia" w:ascii="仿宋_GB2312" w:eastAsia="仿宋_GB2312"/>
          <w:b w:val="0"/>
          <w:bCs w:val="0"/>
        </w:rPr>
        <w:t>般公共预算财政拨款支出决算明细表</w:t>
      </w:r>
      <w:bookmarkEnd w:id="51"/>
    </w:p>
    <w:p>
      <w:pPr>
        <w:pStyle w:val="4"/>
        <w:keepNext w:val="0"/>
        <w:keepLines w:val="0"/>
        <w:pageBreakBefore w:val="0"/>
        <w:widowControl w:val="0"/>
        <w:kinsoku/>
        <w:wordWrap/>
        <w:overflowPunct/>
        <w:topLinePunct w:val="0"/>
        <w:autoSpaceDE/>
        <w:autoSpaceDN/>
        <w:bidi w:val="0"/>
        <w:adjustRightInd/>
        <w:snapToGrid/>
        <w:spacing w:line="60" w:lineRule="atLeast"/>
        <w:textAlignment w:val="auto"/>
        <w:rPr>
          <w:rFonts w:hint="eastAsia" w:ascii="仿宋_GB2312" w:hAnsi="仿宋_GB2312" w:eastAsia="仿宋_GB2312" w:cs="仿宋_GB2312"/>
          <w:b w:val="0"/>
        </w:rPr>
      </w:pPr>
      <w:bookmarkStart w:id="52" w:name="_Toc15396626"/>
      <w:r>
        <w:rPr>
          <w:rFonts w:hint="eastAsia" w:ascii="仿宋_GB2312" w:eastAsia="仿宋_GB2312"/>
          <w:b w:val="0"/>
          <w:bCs w:val="0"/>
        </w:rPr>
        <w:t>八、</w:t>
      </w:r>
      <w:r>
        <w:rPr>
          <w:rFonts w:hint="eastAsia" w:ascii="仿宋_GB2312" w:hAnsi="仿宋_GB2312" w:eastAsia="仿宋_GB2312" w:cs="仿宋_GB2312"/>
          <w:b w:val="0"/>
        </w:rPr>
        <w:t>一</w:t>
      </w:r>
      <w:r>
        <w:rPr>
          <w:rFonts w:hint="eastAsia" w:ascii="仿宋_GB2312" w:eastAsia="仿宋_GB2312"/>
          <w:b w:val="0"/>
          <w:bCs w:val="0"/>
        </w:rPr>
        <w:t>般公共预算财政拨款基本支出决算表</w:t>
      </w:r>
      <w:bookmarkEnd w:id="52"/>
    </w:p>
    <w:p>
      <w:pPr>
        <w:pStyle w:val="4"/>
        <w:keepNext w:val="0"/>
        <w:keepLines w:val="0"/>
        <w:pageBreakBefore w:val="0"/>
        <w:widowControl w:val="0"/>
        <w:kinsoku/>
        <w:wordWrap/>
        <w:overflowPunct/>
        <w:topLinePunct w:val="0"/>
        <w:autoSpaceDE/>
        <w:autoSpaceDN/>
        <w:bidi w:val="0"/>
        <w:adjustRightInd/>
        <w:snapToGrid/>
        <w:spacing w:line="60" w:lineRule="atLeast"/>
        <w:textAlignment w:val="auto"/>
        <w:rPr>
          <w:rFonts w:hint="eastAsia" w:ascii="仿宋_GB2312" w:hAnsi="仿宋_GB2312" w:eastAsia="仿宋_GB2312" w:cs="仿宋_GB2312"/>
          <w:b w:val="0"/>
        </w:rPr>
      </w:pPr>
      <w:bookmarkStart w:id="53" w:name="_Toc15396627"/>
      <w:r>
        <w:rPr>
          <w:rFonts w:hint="eastAsia" w:ascii="仿宋_GB2312" w:eastAsia="仿宋_GB2312"/>
          <w:b w:val="0"/>
          <w:bCs w:val="0"/>
        </w:rPr>
        <w:t>九、</w:t>
      </w:r>
      <w:r>
        <w:rPr>
          <w:rFonts w:hint="eastAsia" w:ascii="仿宋_GB2312" w:hAnsi="仿宋_GB2312" w:eastAsia="仿宋_GB2312" w:cs="仿宋_GB2312"/>
          <w:b w:val="0"/>
        </w:rPr>
        <w:t>一</w:t>
      </w:r>
      <w:r>
        <w:rPr>
          <w:rFonts w:hint="eastAsia" w:ascii="仿宋_GB2312" w:eastAsia="仿宋_GB2312"/>
          <w:b w:val="0"/>
          <w:bCs w:val="0"/>
        </w:rPr>
        <w:t>般公共预算财政拨款项目支出决算表</w:t>
      </w:r>
      <w:bookmarkEnd w:id="53"/>
    </w:p>
    <w:p>
      <w:pPr>
        <w:pStyle w:val="4"/>
        <w:keepNext w:val="0"/>
        <w:keepLines w:val="0"/>
        <w:pageBreakBefore w:val="0"/>
        <w:widowControl w:val="0"/>
        <w:kinsoku/>
        <w:wordWrap/>
        <w:overflowPunct/>
        <w:topLinePunct w:val="0"/>
        <w:autoSpaceDE/>
        <w:autoSpaceDN/>
        <w:bidi w:val="0"/>
        <w:adjustRightInd/>
        <w:snapToGrid/>
        <w:spacing w:line="60" w:lineRule="atLeast"/>
        <w:textAlignment w:val="auto"/>
        <w:rPr>
          <w:rFonts w:hint="eastAsia" w:ascii="仿宋_GB2312" w:hAnsi="仿宋_GB2312" w:eastAsia="仿宋_GB2312" w:cs="仿宋_GB2312"/>
          <w:b w:val="0"/>
        </w:rPr>
      </w:pPr>
      <w:bookmarkStart w:id="54" w:name="_Toc15396628"/>
      <w:r>
        <w:rPr>
          <w:rFonts w:hint="eastAsia" w:ascii="仿宋_GB2312" w:eastAsia="仿宋_GB2312"/>
          <w:b w:val="0"/>
          <w:bCs w:val="0"/>
        </w:rPr>
        <w:t>十、</w:t>
      </w:r>
      <w:bookmarkEnd w:id="54"/>
      <w:r>
        <w:rPr>
          <w:rFonts w:hint="eastAsia" w:ascii="仿宋_GB2312" w:hAnsi="仿宋_GB2312" w:eastAsia="仿宋_GB2312" w:cs="仿宋_GB2312"/>
          <w:b w:val="0"/>
        </w:rPr>
        <w:t>政</w:t>
      </w:r>
      <w:r>
        <w:rPr>
          <w:rFonts w:hint="eastAsia" w:ascii="仿宋_GB2312" w:eastAsia="仿宋_GB2312"/>
          <w:b w:val="0"/>
          <w:bCs w:val="0"/>
        </w:rPr>
        <w:t>府性基金预算财政拨款收入支出决算表</w:t>
      </w:r>
    </w:p>
    <w:p>
      <w:pPr>
        <w:pStyle w:val="4"/>
        <w:keepNext w:val="0"/>
        <w:keepLines w:val="0"/>
        <w:pageBreakBefore w:val="0"/>
        <w:widowControl w:val="0"/>
        <w:kinsoku/>
        <w:wordWrap/>
        <w:overflowPunct/>
        <w:topLinePunct w:val="0"/>
        <w:autoSpaceDE/>
        <w:autoSpaceDN/>
        <w:bidi w:val="0"/>
        <w:adjustRightInd/>
        <w:snapToGrid/>
        <w:spacing w:line="60" w:lineRule="atLeast"/>
        <w:textAlignment w:val="auto"/>
        <w:rPr>
          <w:rFonts w:hint="eastAsia" w:ascii="仿宋_GB2312" w:hAnsi="仿宋_GB2312" w:eastAsia="仿宋_GB2312" w:cs="仿宋_GB2312"/>
          <w:b w:val="0"/>
        </w:rPr>
      </w:pPr>
      <w:bookmarkStart w:id="55" w:name="_Toc15396629"/>
      <w:r>
        <w:rPr>
          <w:rFonts w:hint="eastAsia" w:ascii="仿宋_GB2312" w:eastAsia="仿宋_GB2312"/>
          <w:b w:val="0"/>
          <w:bCs w:val="0"/>
        </w:rPr>
        <w:t>十一、</w:t>
      </w:r>
      <w:bookmarkEnd w:id="55"/>
      <w:r>
        <w:rPr>
          <w:rFonts w:hint="eastAsia" w:ascii="仿宋_GB2312" w:hAnsi="仿宋_GB2312" w:eastAsia="仿宋_GB2312" w:cs="仿宋_GB2312"/>
          <w:b w:val="0"/>
        </w:rPr>
        <w:t>国</w:t>
      </w:r>
      <w:r>
        <w:rPr>
          <w:rFonts w:hint="eastAsia" w:ascii="仿宋_GB2312" w:eastAsia="仿宋_GB2312"/>
          <w:b w:val="0"/>
          <w:bCs w:val="0"/>
        </w:rPr>
        <w:t>有资本经营预算财政拨款收入支出决算表</w:t>
      </w:r>
    </w:p>
    <w:p>
      <w:pPr>
        <w:pStyle w:val="4"/>
        <w:keepNext w:val="0"/>
        <w:keepLines w:val="0"/>
        <w:pageBreakBefore w:val="0"/>
        <w:widowControl w:val="0"/>
        <w:kinsoku/>
        <w:wordWrap/>
        <w:overflowPunct/>
        <w:topLinePunct w:val="0"/>
        <w:autoSpaceDE/>
        <w:autoSpaceDN/>
        <w:bidi w:val="0"/>
        <w:adjustRightInd/>
        <w:snapToGrid/>
        <w:spacing w:line="60" w:lineRule="atLeast"/>
        <w:textAlignment w:val="auto"/>
        <w:rPr>
          <w:rFonts w:hint="eastAsia" w:ascii="仿宋_GB2312" w:hAnsi="仿宋_GB2312" w:eastAsia="仿宋_GB2312" w:cs="仿宋_GB2312"/>
          <w:b w:val="0"/>
        </w:rPr>
      </w:pPr>
      <w:bookmarkStart w:id="56" w:name="_Toc15396630"/>
      <w:r>
        <w:rPr>
          <w:rFonts w:hint="eastAsia" w:ascii="仿宋_GB2312" w:eastAsia="仿宋_GB2312"/>
          <w:b w:val="0"/>
          <w:bCs w:val="0"/>
        </w:rPr>
        <w:t>十二、</w:t>
      </w:r>
      <w:bookmarkEnd w:id="56"/>
      <w:r>
        <w:rPr>
          <w:rFonts w:hint="eastAsia" w:ascii="仿宋_GB2312" w:eastAsia="仿宋_GB2312"/>
          <w:b w:val="0"/>
          <w:bCs w:val="0"/>
        </w:rPr>
        <w:t>国有资本经营预算财政拨款支出决算表</w:t>
      </w:r>
    </w:p>
    <w:p>
      <w:pPr>
        <w:pStyle w:val="4"/>
        <w:keepNext w:val="0"/>
        <w:keepLines w:val="0"/>
        <w:pageBreakBefore w:val="0"/>
        <w:widowControl w:val="0"/>
        <w:kinsoku/>
        <w:wordWrap/>
        <w:overflowPunct/>
        <w:topLinePunct w:val="0"/>
        <w:autoSpaceDE/>
        <w:autoSpaceDN/>
        <w:bidi w:val="0"/>
        <w:adjustRightInd/>
        <w:snapToGrid/>
        <w:spacing w:line="60" w:lineRule="atLeast"/>
        <w:textAlignment w:val="auto"/>
        <w:rPr>
          <w:rFonts w:hint="eastAsia" w:ascii="仿宋_GB2312" w:hAnsi="仿宋_GB2312" w:eastAsia="仿宋_GB2312" w:cs="仿宋_GB2312"/>
          <w:b w:val="0"/>
        </w:rPr>
      </w:pPr>
      <w:bookmarkStart w:id="57" w:name="_Toc15396631"/>
      <w:r>
        <w:rPr>
          <w:rFonts w:hint="eastAsia" w:ascii="仿宋_GB2312" w:eastAsia="仿宋_GB2312"/>
          <w:b w:val="0"/>
          <w:bCs w:val="0"/>
        </w:rPr>
        <w:t>十三、</w:t>
      </w:r>
      <w:bookmarkEnd w:id="57"/>
      <w:r>
        <w:rPr>
          <w:rFonts w:hint="eastAsia" w:ascii="仿宋_GB2312" w:eastAsia="仿宋_GB2312"/>
          <w:b w:val="0"/>
          <w:bCs w:val="0"/>
        </w:rPr>
        <w:t>财政拨款“三公”经费支出决算表</w:t>
      </w:r>
    </w:p>
    <w:sectPr>
      <w:pgSz w:w="16838" w:h="11906" w:orient="landscape"/>
      <w:pgMar w:top="1701" w:right="1440" w:bottom="1701" w:left="1440" w:header="851" w:footer="992" w:gutter="0"/>
      <w:paperSrc/>
      <w:cols w:space="0" w:num="1"/>
      <w:rtlGutter w:val="0"/>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simhei">
    <w:altName w:val="Mangal"/>
    <w:panose1 w:val="00000000000000000000"/>
    <w:charset w:val="00"/>
    <w:family w:val="auto"/>
    <w:pitch w:val="default"/>
    <w:sig w:usb0="00000000" w:usb1="00000000" w:usb2="00000000" w:usb3="00000000" w:csb0="00000000" w:csb1="00000000"/>
  </w:font>
  <w:font w:name="Mangal">
    <w:panose1 w:val="00000400000000000000"/>
    <w:charset w:val="00"/>
    <w:family w:val="auto"/>
    <w:pitch w:val="default"/>
    <w:sig w:usb0="00008000" w:usb1="00000000" w:usb2="00000000" w:usb3="00000000" w:csb0="00000000" w:csb1="00000000"/>
  </w:font>
  <w:font w:name="微软雅黑">
    <w:altName w:val="黑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pict>
        <v:shape id="_x0000_s2050" o:spid="_x0000_s2050"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joinstyle="miter"/>
          <v:imagedata o:title=""/>
          <o:lock v:ext="edit"/>
          <v:textbox inset="0mm,0mm,0mm,0mm" style="mso-fit-shape-to-text:t;">
            <w:txbxContent>
              <w:p>
                <w:pPr>
                  <w:pStyle w:val="10"/>
                </w:pPr>
              </w:p>
            </w:txbxContent>
          </v:textbox>
        </v:shape>
      </w:pict>
    </w:r>
    <w:sdt>
      <w:sdtPr>
        <w:id w:val="-1994781956"/>
      </w:sdtPr>
      <w:sdtContent/>
    </w:sdt>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_x0000_s2049" o:spid="_x0000_s2049"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joinstyle="miter"/>
          <v:imagedata o:title=""/>
          <o:lock v:ext="edit"/>
          <v:textbox inset="0mm,0mm,0mm,0mm" style="mso-fit-shape-to-text:t;">
            <w:txbxContent>
              <w:p>
                <w:pPr>
                  <w:pStyle w:val="10"/>
                </w:pP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pict>
        <v:shape id="_x0000_s2052" o:spid="_x0000_s2052"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0.5pt" joinstyle="miter"/>
          <v:imagedata o:title=""/>
          <o:lock v:ext="edit"/>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w:r>
    <w:sdt>
      <w:sdtPr>
        <w:id w:val="147470681"/>
      </w:sdtPr>
      <w:sdtContent>
        <w:r>
          <w:rPr>
            <w:rFonts w:hint="eastAsia"/>
          </w:rPr>
          <w:t>1</w:t>
        </w:r>
      </w:sdtContent>
    </w:sdt>
  </w:p>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_x0000_s2051" o:spid="_x0000_s205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0.5pt" joinstyle="miter"/>
          <v:imagedata o:title=""/>
          <o:lock v:ext="edit"/>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pict>
        <v:shape id="_x0000_s2053" o:spid="_x0000_s2053"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joinstyle="miter"/>
          <v:imagedata o:title=""/>
          <o:lock v:ext="edit"/>
          <v:textbox inset="0mm,0mm,0mm,0mm" style="mso-fit-shape-to-text:t;">
            <w:txbxContent>
              <w:p>
                <w:pPr>
                  <w:pStyle w:val="10"/>
                </w:pPr>
                <w:r>
                  <w:fldChar w:fldCharType="begin"/>
                </w:r>
                <w:r>
                  <w:instrText xml:space="preserve"> PAGE  \* MERGEFORMAT </w:instrText>
                </w:r>
                <w:r>
                  <w:fldChar w:fldCharType="separate"/>
                </w:r>
                <w:r>
                  <w:t>3</w:t>
                </w:r>
                <w:r>
                  <w:fldChar w:fldCharType="end"/>
                </w:r>
              </w:p>
            </w:txbxContent>
          </v:textbox>
        </v:shape>
      </w:pict>
    </w:r>
    <w:sdt>
      <w:sdtPr>
        <w:id w:val="147466087"/>
      </w:sdtPr>
      <w:sdtContent/>
    </w:sdt>
  </w:p>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24D1D5F"/>
    <w:multiLevelType w:val="singleLevel"/>
    <w:tmpl w:val="624D1D5F"/>
    <w:lvl w:ilvl="0" w:tentative="0">
      <w:start w:val="2"/>
      <w:numFmt w:val="chineseCounting"/>
      <w:suff w:val="nothing"/>
      <w:lvlText w:val="（%1）"/>
      <w:lvlJc w:val="left"/>
      <w:rPr>
        <w:rFonts w:hint="eastAsia"/>
      </w:rPr>
    </w:lvl>
  </w:abstractNum>
  <w:abstractNum w:abstractNumId="4">
    <w:nsid w:val="693F0C8A"/>
    <w:multiLevelType w:val="multilevel"/>
    <w:tmpl w:val="693F0C8A"/>
    <w:lvl w:ilvl="0" w:tentative="0">
      <w:start w:val="1"/>
      <w:numFmt w:val="decimal"/>
      <w:suff w:val="nothing"/>
      <w:lvlText w:val="%1．"/>
      <w:lvlJc w:val="left"/>
      <w:pPr>
        <w:ind w:left="0" w:firstLine="400"/>
      </w:pPr>
      <w:rPr>
        <w:rFonts w:hint="default"/>
        <w:sz w:val="28"/>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false"/>
  <w:bordersDoNotSurroundFooter w:val="false"/>
  <w:documentProtection w:enforcement="0"/>
  <w:defaultTabStop w:val="420"/>
  <w:drawingGridHorizontalSpacing w:val="105"/>
  <w:drawingGridVerticalSpacing w:val="157"/>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c2ZGZiNzZiNDVlOGViOWVmM2JhOTY0NGJkNjUyYzgifQ=="/>
  </w:docVars>
  <w:rsids>
    <w:rsidRoot w:val="00172A27"/>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0F0A"/>
    <w:rsid w:val="000C3467"/>
    <w:rsid w:val="000C3CA6"/>
    <w:rsid w:val="000D1267"/>
    <w:rsid w:val="000D1D50"/>
    <w:rsid w:val="000D5782"/>
    <w:rsid w:val="000E6613"/>
    <w:rsid w:val="000E7119"/>
    <w:rsid w:val="00114E9B"/>
    <w:rsid w:val="00142216"/>
    <w:rsid w:val="00144D6A"/>
    <w:rsid w:val="0014729F"/>
    <w:rsid w:val="00157BAB"/>
    <w:rsid w:val="001654D1"/>
    <w:rsid w:val="00165C09"/>
    <w:rsid w:val="00174518"/>
    <w:rsid w:val="0018106D"/>
    <w:rsid w:val="001877A7"/>
    <w:rsid w:val="00191536"/>
    <w:rsid w:val="00196687"/>
    <w:rsid w:val="001C0962"/>
    <w:rsid w:val="001C5BED"/>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1DEF"/>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5723D"/>
    <w:rsid w:val="00471401"/>
    <w:rsid w:val="00473F31"/>
    <w:rsid w:val="0048263A"/>
    <w:rsid w:val="00487E5D"/>
    <w:rsid w:val="004A711F"/>
    <w:rsid w:val="004B199D"/>
    <w:rsid w:val="004B4690"/>
    <w:rsid w:val="004D6899"/>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D7B80"/>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3BBB"/>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AE23BA"/>
    <w:rsid w:val="00B03C9D"/>
    <w:rsid w:val="00B060AE"/>
    <w:rsid w:val="00B10517"/>
    <w:rsid w:val="00B14E76"/>
    <w:rsid w:val="00B161B8"/>
    <w:rsid w:val="00B2048C"/>
    <w:rsid w:val="00B310B9"/>
    <w:rsid w:val="00B35F3F"/>
    <w:rsid w:val="00B36CBB"/>
    <w:rsid w:val="00B425E0"/>
    <w:rsid w:val="00B440AA"/>
    <w:rsid w:val="00B44B70"/>
    <w:rsid w:val="00B450BC"/>
    <w:rsid w:val="00B53C56"/>
    <w:rsid w:val="00B577AE"/>
    <w:rsid w:val="00B57DAF"/>
    <w:rsid w:val="00B77EA6"/>
    <w:rsid w:val="00B81598"/>
    <w:rsid w:val="00B841F1"/>
    <w:rsid w:val="00B944D6"/>
    <w:rsid w:val="00BA742D"/>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5314"/>
    <w:rsid w:val="00CC666F"/>
    <w:rsid w:val="00CD1E3F"/>
    <w:rsid w:val="00CE44F6"/>
    <w:rsid w:val="00CE46BB"/>
    <w:rsid w:val="00CE49DA"/>
    <w:rsid w:val="00CE7B61"/>
    <w:rsid w:val="00D00095"/>
    <w:rsid w:val="00D114F0"/>
    <w:rsid w:val="00D20620"/>
    <w:rsid w:val="00D254F7"/>
    <w:rsid w:val="00D26091"/>
    <w:rsid w:val="00D2685C"/>
    <w:rsid w:val="00D34E7C"/>
    <w:rsid w:val="00D35489"/>
    <w:rsid w:val="00D36AFE"/>
    <w:rsid w:val="00D51276"/>
    <w:rsid w:val="00D7035F"/>
    <w:rsid w:val="00DA2127"/>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0F51"/>
    <w:rsid w:val="00E53A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46D15"/>
    <w:rsid w:val="00F602DF"/>
    <w:rsid w:val="00F754A1"/>
    <w:rsid w:val="00F81FD9"/>
    <w:rsid w:val="00F841AA"/>
    <w:rsid w:val="00F84A94"/>
    <w:rsid w:val="00F87E96"/>
    <w:rsid w:val="00FA23E8"/>
    <w:rsid w:val="00FD3CC1"/>
    <w:rsid w:val="00FF1E02"/>
    <w:rsid w:val="00FF30B4"/>
    <w:rsid w:val="015975B8"/>
    <w:rsid w:val="0204742C"/>
    <w:rsid w:val="02143E91"/>
    <w:rsid w:val="02B81FC4"/>
    <w:rsid w:val="031511C4"/>
    <w:rsid w:val="04B54A0D"/>
    <w:rsid w:val="0534627A"/>
    <w:rsid w:val="066E0107"/>
    <w:rsid w:val="06A00D6D"/>
    <w:rsid w:val="06E72E78"/>
    <w:rsid w:val="07996F6E"/>
    <w:rsid w:val="09F2420A"/>
    <w:rsid w:val="0A2032A3"/>
    <w:rsid w:val="0B4C7002"/>
    <w:rsid w:val="0CBE28CD"/>
    <w:rsid w:val="0DAD0977"/>
    <w:rsid w:val="0E975183"/>
    <w:rsid w:val="0F98263C"/>
    <w:rsid w:val="101860EC"/>
    <w:rsid w:val="108F5D13"/>
    <w:rsid w:val="10A018A1"/>
    <w:rsid w:val="10C055FF"/>
    <w:rsid w:val="118107EC"/>
    <w:rsid w:val="125535EC"/>
    <w:rsid w:val="125735A8"/>
    <w:rsid w:val="13D50BC4"/>
    <w:rsid w:val="14A30D26"/>
    <w:rsid w:val="151D2886"/>
    <w:rsid w:val="15634011"/>
    <w:rsid w:val="16BB723D"/>
    <w:rsid w:val="17D35D21"/>
    <w:rsid w:val="17E96099"/>
    <w:rsid w:val="181D2588"/>
    <w:rsid w:val="1890336F"/>
    <w:rsid w:val="18D25736"/>
    <w:rsid w:val="1A002777"/>
    <w:rsid w:val="1AF83375"/>
    <w:rsid w:val="1B542D7A"/>
    <w:rsid w:val="1B55264E"/>
    <w:rsid w:val="1BA01B1B"/>
    <w:rsid w:val="1BE8440E"/>
    <w:rsid w:val="1CD52F90"/>
    <w:rsid w:val="1D155CEE"/>
    <w:rsid w:val="1ED039AC"/>
    <w:rsid w:val="1F5F584A"/>
    <w:rsid w:val="1F6C6416"/>
    <w:rsid w:val="1F6F58C3"/>
    <w:rsid w:val="1FB2006F"/>
    <w:rsid w:val="1FDC333E"/>
    <w:rsid w:val="1FF35744"/>
    <w:rsid w:val="20317BDE"/>
    <w:rsid w:val="21A13440"/>
    <w:rsid w:val="22763961"/>
    <w:rsid w:val="23860B96"/>
    <w:rsid w:val="240371BF"/>
    <w:rsid w:val="257A162F"/>
    <w:rsid w:val="26C26CF7"/>
    <w:rsid w:val="281150E5"/>
    <w:rsid w:val="284D6B87"/>
    <w:rsid w:val="28A40771"/>
    <w:rsid w:val="29C44C99"/>
    <w:rsid w:val="29FD04D3"/>
    <w:rsid w:val="2A9836BF"/>
    <w:rsid w:val="2BCD4352"/>
    <w:rsid w:val="2BD670F1"/>
    <w:rsid w:val="2C8A61B5"/>
    <w:rsid w:val="2DF04E50"/>
    <w:rsid w:val="2F040D46"/>
    <w:rsid w:val="2F4777EC"/>
    <w:rsid w:val="2FBC2096"/>
    <w:rsid w:val="2FF3765D"/>
    <w:rsid w:val="306D4B10"/>
    <w:rsid w:val="307D1B8C"/>
    <w:rsid w:val="319F7F4E"/>
    <w:rsid w:val="32A9493D"/>
    <w:rsid w:val="3304709D"/>
    <w:rsid w:val="332E3A59"/>
    <w:rsid w:val="334D3EDF"/>
    <w:rsid w:val="34BA1A48"/>
    <w:rsid w:val="34E762EE"/>
    <w:rsid w:val="35A87AF3"/>
    <w:rsid w:val="360311CD"/>
    <w:rsid w:val="36211653"/>
    <w:rsid w:val="366534A9"/>
    <w:rsid w:val="369938DF"/>
    <w:rsid w:val="36AA5135"/>
    <w:rsid w:val="376D39B2"/>
    <w:rsid w:val="37E16F03"/>
    <w:rsid w:val="388D1222"/>
    <w:rsid w:val="38D469F0"/>
    <w:rsid w:val="3A086DB2"/>
    <w:rsid w:val="3A2F7CD1"/>
    <w:rsid w:val="3AC14B10"/>
    <w:rsid w:val="3D6F71B7"/>
    <w:rsid w:val="3D98207C"/>
    <w:rsid w:val="3DF6637A"/>
    <w:rsid w:val="3E210442"/>
    <w:rsid w:val="3E78745D"/>
    <w:rsid w:val="3F7D5B4C"/>
    <w:rsid w:val="41491692"/>
    <w:rsid w:val="422E2842"/>
    <w:rsid w:val="436B215F"/>
    <w:rsid w:val="43B635C4"/>
    <w:rsid w:val="43C7383A"/>
    <w:rsid w:val="44E268DA"/>
    <w:rsid w:val="459C0CF6"/>
    <w:rsid w:val="459E4A6E"/>
    <w:rsid w:val="46794B93"/>
    <w:rsid w:val="475C5107"/>
    <w:rsid w:val="491C0184"/>
    <w:rsid w:val="4981448B"/>
    <w:rsid w:val="498A5F41"/>
    <w:rsid w:val="4A627F82"/>
    <w:rsid w:val="4B0E749A"/>
    <w:rsid w:val="4B4F25DA"/>
    <w:rsid w:val="4BDE326E"/>
    <w:rsid w:val="4BE068DB"/>
    <w:rsid w:val="4C0E556F"/>
    <w:rsid w:val="4CA706AC"/>
    <w:rsid w:val="4CCF550D"/>
    <w:rsid w:val="4CE40C4D"/>
    <w:rsid w:val="4D577224"/>
    <w:rsid w:val="4DB11619"/>
    <w:rsid w:val="4E7B0135"/>
    <w:rsid w:val="4EAB630A"/>
    <w:rsid w:val="4ECE2238"/>
    <w:rsid w:val="4F6E62A9"/>
    <w:rsid w:val="517B3EB5"/>
    <w:rsid w:val="532C5467"/>
    <w:rsid w:val="537E6D0A"/>
    <w:rsid w:val="53F71F19"/>
    <w:rsid w:val="5439784D"/>
    <w:rsid w:val="54DC4C6B"/>
    <w:rsid w:val="55077D40"/>
    <w:rsid w:val="56E94533"/>
    <w:rsid w:val="56EB73E7"/>
    <w:rsid w:val="58CD3249"/>
    <w:rsid w:val="5AF92295"/>
    <w:rsid w:val="5CD71FC4"/>
    <w:rsid w:val="5D296E0D"/>
    <w:rsid w:val="5D616655"/>
    <w:rsid w:val="5D700646"/>
    <w:rsid w:val="5E596AD4"/>
    <w:rsid w:val="5F296CFF"/>
    <w:rsid w:val="604B053B"/>
    <w:rsid w:val="60CE0B25"/>
    <w:rsid w:val="611E2EDC"/>
    <w:rsid w:val="61D94A0C"/>
    <w:rsid w:val="638C5AAE"/>
    <w:rsid w:val="64104931"/>
    <w:rsid w:val="649E018F"/>
    <w:rsid w:val="64BC0FD5"/>
    <w:rsid w:val="64BF7529"/>
    <w:rsid w:val="65AB66C0"/>
    <w:rsid w:val="65BF03BD"/>
    <w:rsid w:val="66CB3F19"/>
    <w:rsid w:val="67656D42"/>
    <w:rsid w:val="67E52B96"/>
    <w:rsid w:val="67FD9C81"/>
    <w:rsid w:val="695232F6"/>
    <w:rsid w:val="69943784"/>
    <w:rsid w:val="6A681023"/>
    <w:rsid w:val="6B7457A6"/>
    <w:rsid w:val="6C4A05C8"/>
    <w:rsid w:val="6C557385"/>
    <w:rsid w:val="6C787517"/>
    <w:rsid w:val="6E7E3605"/>
    <w:rsid w:val="6EFA6768"/>
    <w:rsid w:val="6F174DC6"/>
    <w:rsid w:val="6F885CC3"/>
    <w:rsid w:val="6FBDE4AD"/>
    <w:rsid w:val="6FF5CC65"/>
    <w:rsid w:val="70476A93"/>
    <w:rsid w:val="71145A61"/>
    <w:rsid w:val="715C0E4B"/>
    <w:rsid w:val="72734D90"/>
    <w:rsid w:val="72C232B3"/>
    <w:rsid w:val="72ED6EEC"/>
    <w:rsid w:val="73216213"/>
    <w:rsid w:val="73AD73D5"/>
    <w:rsid w:val="73B6EB34"/>
    <w:rsid w:val="744731E5"/>
    <w:rsid w:val="746A5998"/>
    <w:rsid w:val="74EC2851"/>
    <w:rsid w:val="74FD2A1F"/>
    <w:rsid w:val="75B43324"/>
    <w:rsid w:val="76C30A70"/>
    <w:rsid w:val="76E3355F"/>
    <w:rsid w:val="773C186D"/>
    <w:rsid w:val="778769C8"/>
    <w:rsid w:val="784604CA"/>
    <w:rsid w:val="79EE5BA4"/>
    <w:rsid w:val="7A894339"/>
    <w:rsid w:val="7AFB559C"/>
    <w:rsid w:val="7B130F00"/>
    <w:rsid w:val="7B4440DD"/>
    <w:rsid w:val="7B6F6AFA"/>
    <w:rsid w:val="7BE73D72"/>
    <w:rsid w:val="7C701FB9"/>
    <w:rsid w:val="7C9A3A05"/>
    <w:rsid w:val="7CF46746"/>
    <w:rsid w:val="7CFB7AD5"/>
    <w:rsid w:val="7D1611A6"/>
    <w:rsid w:val="7D5A3CD7"/>
    <w:rsid w:val="7D6F3CAC"/>
    <w:rsid w:val="7DEB0C43"/>
    <w:rsid w:val="7EEF11D3"/>
    <w:rsid w:val="7F2826D7"/>
    <w:rsid w:val="7F531E4A"/>
    <w:rsid w:val="7F9935D5"/>
    <w:rsid w:val="7FA30C79"/>
    <w:rsid w:val="7FB7269E"/>
    <w:rsid w:val="7FC96657"/>
    <w:rsid w:val="7FFD306D"/>
    <w:rsid w:val="D677F17D"/>
    <w:rsid w:val="D8D6DB89"/>
    <w:rsid w:val="DB6F4CAB"/>
    <w:rsid w:val="DEEBACA6"/>
    <w:rsid w:val="DF6F9789"/>
    <w:rsid w:val="FF77C2A4"/>
    <w:rsid w:val="FFAF92FE"/>
    <w:rsid w:val="FFF39E9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2"/>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9"/>
    <w:qFormat/>
    <w:uiPriority w:val="99"/>
    <w:pPr>
      <w:spacing w:beforeLines="30"/>
    </w:pPr>
    <w:rPr>
      <w:rFonts w:ascii="仿宋_GB2312" w:eastAsia="仿宋_GB2312"/>
      <w:kern w:val="0"/>
      <w:sz w:val="30"/>
    </w:rPr>
  </w:style>
  <w:style w:type="paragraph" w:styleId="6">
    <w:name w:val="Salutation"/>
    <w:basedOn w:val="1"/>
    <w:next w:val="1"/>
    <w:qFormat/>
    <w:uiPriority w:val="0"/>
  </w:style>
  <w:style w:type="paragraph" w:styleId="7">
    <w:name w:val="Body Text Indent"/>
    <w:basedOn w:val="1"/>
    <w:qFormat/>
    <w:uiPriority w:val="0"/>
    <w:pPr>
      <w:spacing w:after="120"/>
      <w:ind w:left="200"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3"/>
    <w:semiHidden/>
    <w:unhideWhenUsed/>
    <w:qFormat/>
    <w:uiPriority w:val="99"/>
    <w:rPr>
      <w:sz w:val="18"/>
      <w:szCs w:val="18"/>
    </w:rPr>
  </w:style>
  <w:style w:type="paragraph" w:styleId="10">
    <w:name w:val="footer"/>
    <w:basedOn w:val="1"/>
    <w:link w:val="27"/>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5"/>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qFormat/>
    <w:uiPriority w:val="0"/>
    <w:rPr>
      <w:sz w:val="24"/>
    </w:rPr>
  </w:style>
  <w:style w:type="paragraph" w:styleId="15">
    <w:name w:val="Body Text First Indent 2"/>
    <w:basedOn w:val="7"/>
    <w:next w:val="1"/>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rPr>
  </w:style>
  <w:style w:type="character" w:customStyle="1" w:styleId="20">
    <w:name w:val="标题 1 Char"/>
    <w:basedOn w:val="17"/>
    <w:link w:val="3"/>
    <w:qFormat/>
    <w:uiPriority w:val="9"/>
    <w:rPr>
      <w:rFonts w:ascii="Times New Roman" w:hAnsi="Times New Roman"/>
      <w:b/>
      <w:bCs/>
      <w:kern w:val="44"/>
      <w:sz w:val="44"/>
      <w:szCs w:val="44"/>
    </w:rPr>
  </w:style>
  <w:style w:type="character" w:customStyle="1" w:styleId="21">
    <w:name w:val="标题 2 Char"/>
    <w:basedOn w:val="17"/>
    <w:link w:val="4"/>
    <w:qFormat/>
    <w:uiPriority w:val="9"/>
    <w:rPr>
      <w:rFonts w:asciiTheme="majorHAnsi" w:hAnsiTheme="majorHAnsi" w:eastAsiaTheme="majorEastAsia" w:cstheme="majorBidi"/>
      <w:b/>
      <w:bCs/>
      <w:kern w:val="2"/>
      <w:sz w:val="32"/>
      <w:szCs w:val="32"/>
    </w:rPr>
  </w:style>
  <w:style w:type="character" w:customStyle="1" w:styleId="22">
    <w:name w:val="标题 3 Char"/>
    <w:basedOn w:val="17"/>
    <w:link w:val="5"/>
    <w:qFormat/>
    <w:uiPriority w:val="9"/>
    <w:rPr>
      <w:rFonts w:ascii="Times New Roman" w:hAnsi="Times New Roman"/>
      <w:b/>
      <w:bCs/>
      <w:kern w:val="2"/>
      <w:sz w:val="32"/>
      <w:szCs w:val="32"/>
    </w:rPr>
  </w:style>
  <w:style w:type="paragraph" w:customStyle="1" w:styleId="23">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4">
    <w:name w:val="Header Char"/>
    <w:basedOn w:val="17"/>
    <w:semiHidden/>
    <w:qFormat/>
    <w:uiPriority w:val="99"/>
    <w:rPr>
      <w:rFonts w:ascii="Times New Roman" w:hAnsi="Times New Roman"/>
      <w:sz w:val="18"/>
      <w:szCs w:val="18"/>
    </w:rPr>
  </w:style>
  <w:style w:type="character" w:customStyle="1" w:styleId="25">
    <w:name w:val="页眉 Char"/>
    <w:link w:val="11"/>
    <w:semiHidden/>
    <w:qFormat/>
    <w:locked/>
    <w:uiPriority w:val="99"/>
    <w:rPr>
      <w:sz w:val="18"/>
    </w:rPr>
  </w:style>
  <w:style w:type="character" w:customStyle="1" w:styleId="26">
    <w:name w:val="Footer Char"/>
    <w:basedOn w:val="17"/>
    <w:semiHidden/>
    <w:qFormat/>
    <w:uiPriority w:val="99"/>
    <w:rPr>
      <w:rFonts w:ascii="Times New Roman" w:hAnsi="Times New Roman"/>
      <w:sz w:val="18"/>
      <w:szCs w:val="18"/>
    </w:rPr>
  </w:style>
  <w:style w:type="character" w:customStyle="1" w:styleId="27">
    <w:name w:val="页脚 Char"/>
    <w:link w:val="10"/>
    <w:qFormat/>
    <w:locked/>
    <w:uiPriority w:val="99"/>
    <w:rPr>
      <w:sz w:val="18"/>
    </w:rPr>
  </w:style>
  <w:style w:type="character" w:customStyle="1" w:styleId="28">
    <w:name w:val="Body Text Char"/>
    <w:basedOn w:val="17"/>
    <w:semiHidden/>
    <w:qFormat/>
    <w:uiPriority w:val="99"/>
    <w:rPr>
      <w:rFonts w:ascii="Times New Roman" w:hAnsi="Times New Roman"/>
      <w:szCs w:val="24"/>
    </w:rPr>
  </w:style>
  <w:style w:type="character" w:customStyle="1" w:styleId="29">
    <w:name w:val="正文文本 Char"/>
    <w:link w:val="2"/>
    <w:qFormat/>
    <w:locked/>
    <w:uiPriority w:val="99"/>
    <w:rPr>
      <w:rFonts w:ascii="仿宋_GB2312" w:hAnsi="Times New Roman" w:eastAsia="仿宋_GB2312"/>
      <w:sz w:val="24"/>
    </w:rPr>
  </w:style>
  <w:style w:type="paragraph" w:customStyle="1" w:styleId="30">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1">
    <w:name w:val="List Paragraph"/>
    <w:basedOn w:val="1"/>
    <w:qFormat/>
    <w:uiPriority w:val="34"/>
    <w:pPr>
      <w:ind w:firstLine="420" w:firstLineChars="200"/>
    </w:pPr>
  </w:style>
  <w:style w:type="paragraph" w:customStyle="1" w:styleId="32">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33">
    <w:name w:val="批注框文本 Char"/>
    <w:basedOn w:val="17"/>
    <w:link w:val="9"/>
    <w:semiHidden/>
    <w:qFormat/>
    <w:uiPriority w:val="99"/>
    <w:rPr>
      <w:rFonts w:ascii="Times New Roman" w:hAnsi="Times New Roman"/>
      <w:kern w:val="2"/>
      <w:sz w:val="18"/>
      <w:szCs w:val="18"/>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35">
    <w:name w:val="四号正文"/>
    <w:basedOn w:val="1"/>
    <w:qFormat/>
    <w:uiPriority w:val="0"/>
    <w:pPr>
      <w:spacing w:line="360" w:lineRule="auto"/>
    </w:pPr>
    <w:rPr>
      <w:rFonts w:ascii="??" w:hAnsi="??"/>
      <w:color w:val="000000"/>
      <w:kern w:val="0"/>
      <w:sz w:val="28"/>
      <w:szCs w:val="21"/>
      <w:lang w:val="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chart" Target="charts/chart7.xml"/><Relationship Id="rId15" Type="http://schemas.openxmlformats.org/officeDocument/2006/relationships/chart" Target="charts/chart6.xml"/><Relationship Id="rId14" Type="http://schemas.openxmlformats.org/officeDocument/2006/relationships/chart" Target="charts/chart5.xml"/><Relationship Id="rId13" Type="http://schemas.openxmlformats.org/officeDocument/2006/relationships/chart" Target="charts/chart4.xml"/><Relationship Id="rId12" Type="http://schemas.openxmlformats.org/officeDocument/2006/relationships/chart" Target="charts/chart3.xml"/><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20915;&#31639;&#20844;&#24320;&#25554;&#22270;&#21046;&#20316;&#31034;&#20363;(1)(1)(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istrator\Desktop\&#20915;&#31639;&#20844;&#24320;&#25554;&#22270;&#21046;&#20316;&#31034;&#20363;(1)(1)(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istrator\Desktop\&#20915;&#31639;&#20844;&#24320;&#25554;&#22270;&#21046;&#20316;&#31034;&#20363;(1)(1)(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istrator\Desktop\&#20915;&#31639;&#20844;&#24320;&#25554;&#22270;&#21046;&#20316;&#31034;&#20363;(1)(1)(2).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istrator\Desktop\&#20915;&#31639;&#20844;&#24320;&#25554;&#22270;&#21046;&#20316;&#31034;&#20363;(1)(1)(2).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istrator\Desktop\&#20915;&#31639;&#20844;&#24320;&#25554;&#22270;&#21046;&#20316;&#31034;&#20363;(1)(1)(2).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istrator\Desktop\&#20915;&#31639;&#20844;&#24320;&#25554;&#22270;&#21046;&#20316;&#31034;&#20363;(1)(1)(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spPr>
            <a:solidFill>
              <a:schemeClr val="accent1"/>
            </a:solidFill>
          </c:spPr>
          <c:invertIfNegative val="false"/>
          <c:dPt>
            <c:idx val="1"/>
            <c:invertIfNegative val="false"/>
            <c:bubble3D val="false"/>
            <c:spPr>
              <a:solidFill>
                <a:srgbClr val="FFC000"/>
              </a:solidFill>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'[决算公开插图制作示例(1)(1)(2).xlsx]图一'!$A$1:$B$1</c:f>
              <c:strCache>
                <c:ptCount val="2"/>
                <c:pt idx="0">
                  <c:v>2022年</c:v>
                </c:pt>
                <c:pt idx="1">
                  <c:v>2023年</c:v>
                </c:pt>
              </c:strCache>
            </c:strRef>
          </c:cat>
          <c:val>
            <c:numRef>
              <c:f>'[决算公开插图制作示例(1)(1)(2).xlsx]图一'!$A$2:$B$2</c:f>
              <c:numCache>
                <c:formatCode>General</c:formatCode>
                <c:ptCount val="2"/>
                <c:pt idx="0">
                  <c:v>3270.93</c:v>
                </c:pt>
                <c:pt idx="1">
                  <c:v>3461.39</c:v>
                </c:pt>
              </c:numCache>
            </c:numRef>
          </c:val>
        </c:ser>
        <c:dLbls>
          <c:showLegendKey val="false"/>
          <c:showVal val="true"/>
          <c:showCatName val="false"/>
          <c:showSerName val="false"/>
          <c:showPercent val="false"/>
          <c:showBubbleSize val="false"/>
        </c:dLbls>
        <c:gapWidth val="150"/>
        <c:axId val="42086400"/>
        <c:axId val="42090880"/>
      </c:barChart>
      <c:catAx>
        <c:axId val="42086400"/>
        <c:scaling>
          <c:orientation val="minMax"/>
        </c:scaling>
        <c:delete val="false"/>
        <c:axPos val="b"/>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42090880"/>
        <c:crosses val="autoZero"/>
        <c:auto val="true"/>
        <c:lblAlgn val="ctr"/>
        <c:lblOffset val="100"/>
        <c:noMultiLvlLbl val="false"/>
      </c:catAx>
      <c:valAx>
        <c:axId val="42090880"/>
        <c:scaling>
          <c:orientation val="minMax"/>
        </c:scaling>
        <c:delete val="false"/>
        <c:axPos val="l"/>
        <c:majorGridlines/>
        <c:numFmt formatCode="General"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42086400"/>
        <c:crosses val="autoZero"/>
        <c:crossBetween val="between"/>
      </c:valAx>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图</a:t>
            </a:r>
            <a:r>
              <a:rPr lang="en-US" altLang="zh-CN"/>
              <a:t>2:</a:t>
            </a:r>
            <a:r>
              <a:rPr altLang="en-US"/>
              <a:t>收入决算结构图</a:t>
            </a:r>
            <a:endParaRPr altLang="en-US"/>
          </a:p>
        </c:rich>
      </c:tx>
      <c:layout>
        <c:manualLayout>
          <c:xMode val="edge"/>
          <c:yMode val="edge"/>
          <c:x val="0.327847222222222"/>
          <c:y val="0.0138888888888889"/>
        </c:manualLayout>
      </c:layout>
      <c:overlay val="false"/>
      <c:spPr>
        <a:noFill/>
        <a:ln>
          <a:noFill/>
        </a:ln>
        <a:effectLst/>
      </c:spPr>
    </c:title>
    <c:autoTitleDeleted val="false"/>
    <c:plotArea>
      <c:layout>
        <c:manualLayout>
          <c:layoutTarget val="inner"/>
          <c:xMode val="edge"/>
          <c:yMode val="edge"/>
          <c:x val="0.342013888888889"/>
          <c:y val="0.176388888888889"/>
          <c:w val="0.324305555555556"/>
          <c:h val="0.540509259259259"/>
        </c:manualLayout>
      </c:layout>
      <c:pieChart>
        <c:varyColors val="true"/>
        <c:ser>
          <c:idx val="0"/>
          <c:order val="0"/>
          <c:explosion val="0"/>
          <c:dLbls>
            <c:delete val="true"/>
          </c:dLbls>
          <c:cat>
            <c:strRef>
              <c:f>'[决算公开插图制作示例(1)(1)(2).xlsx]图二'!$A$1:$A$6</c:f>
              <c:strCache>
                <c:ptCount val="6"/>
                <c:pt idx="0">
                  <c:v>一、一般公共预算财政拨款收入</c:v>
                </c:pt>
                <c:pt idx="1">
                  <c:v>二、政府性基金预算财政拨款收入</c:v>
                </c:pt>
                <c:pt idx="2">
                  <c:v>三、国有资本经营预算财政拨款收入</c:v>
                </c:pt>
                <c:pt idx="3">
                  <c:v>四、事业收入</c:v>
                </c:pt>
                <c:pt idx="4">
                  <c:v>五、经营收入</c:v>
                </c:pt>
                <c:pt idx="5">
                  <c:v>六、其他收入</c:v>
                </c:pt>
              </c:strCache>
            </c:strRef>
          </c:cat>
          <c:val>
            <c:numRef>
              <c:f>'[决算公开插图制作示例(1)(1)(2).xlsx]图二'!$B$1:$B$6</c:f>
            </c:numRef>
          </c:val>
        </c:ser>
        <c:ser>
          <c:idx val="1"/>
          <c:order val="1"/>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Pt>
            <c:idx val="4"/>
            <c:bubble3D val="false"/>
            <c:spPr>
              <a:solidFill>
                <a:schemeClr val="accent5"/>
              </a:solidFill>
              <a:ln w="19050">
                <a:solidFill>
                  <a:schemeClr val="lt1"/>
                </a:solidFill>
              </a:ln>
              <a:effectLst/>
            </c:spPr>
          </c:dPt>
          <c:dPt>
            <c:idx val="5"/>
            <c:bubble3D val="false"/>
            <c:spPr>
              <a:solidFill>
                <a:schemeClr val="accent6"/>
              </a:solidFill>
              <a:ln w="19050">
                <a:solidFill>
                  <a:schemeClr val="lt1"/>
                </a:solidFill>
              </a:ln>
              <a:effectLst/>
            </c:spPr>
          </c:dPt>
          <c:dLbls>
            <c:dLbl>
              <c:idx val="1"/>
              <c:delete val="true"/>
            </c:dLbl>
            <c:dLbl>
              <c:idx val="2"/>
              <c:layout>
                <c:manualLayout>
                  <c:x val="0.145558250601076"/>
                  <c:y val="-0.0456296387887215"/>
                </c:manualLayout>
              </c:layout>
              <c:tx>
                <c:rich>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r>
                      <a:rPr lang="en-US" altLang="zh-CN"/>
                      <a:t>21.4</a:t>
                    </a:r>
                    <a:r>
                      <a:t>%</a:t>
                    </a:r>
                  </a:p>
                </c:rich>
              </c:tx>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3"/>
              <c:delete val="true"/>
            </c:dLbl>
            <c:dLbl>
              <c:idx val="4"/>
              <c:delete val="true"/>
            </c:dLbl>
            <c:dLbl>
              <c:idx val="5"/>
              <c:delete val="true"/>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'[决算公开插图制作示例(1)(1)(2).xlsx]图二'!$A$1:$A$6</c:f>
              <c:strCache>
                <c:ptCount val="6"/>
                <c:pt idx="0">
                  <c:v>一、一般公共预算财政拨款收入</c:v>
                </c:pt>
                <c:pt idx="1">
                  <c:v>二、政府性基金预算财政拨款收入</c:v>
                </c:pt>
                <c:pt idx="2">
                  <c:v>三、国有资本经营预算财政拨款收入</c:v>
                </c:pt>
                <c:pt idx="3">
                  <c:v>四、事业收入</c:v>
                </c:pt>
                <c:pt idx="4">
                  <c:v>五、经营收入</c:v>
                </c:pt>
                <c:pt idx="5">
                  <c:v>六、其他收入</c:v>
                </c:pt>
              </c:strCache>
            </c:strRef>
          </c:cat>
          <c:val>
            <c:numRef>
              <c:f>'[决算公开插图制作示例(1)(1)(2).xlsx]图二'!$C$1:$C$6</c:f>
              <c:numCache>
                <c:formatCode>0.0%</c:formatCode>
                <c:ptCount val="6"/>
                <c:pt idx="0">
                  <c:v>0.786</c:v>
                </c:pt>
                <c:pt idx="1">
                  <c:v>0</c:v>
                </c:pt>
                <c:pt idx="2">
                  <c:v>0</c:v>
                </c:pt>
                <c:pt idx="3">
                  <c:v>0</c:v>
                </c:pt>
                <c:pt idx="4">
                  <c:v>0</c:v>
                </c:pt>
                <c:pt idx="5">
                  <c:v>0.214</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69224846894138"/>
          <c:y val="0.150462962962963"/>
          <c:w val="0.566371172353456"/>
          <c:h val="0.689814814814815"/>
        </c:manualLayout>
      </c:layout>
      <c:pieChart>
        <c:varyColors val="true"/>
        <c:ser>
          <c:idx val="0"/>
          <c:order val="0"/>
          <c:explosion val="0"/>
          <c:dPt>
            <c:idx val="0"/>
            <c:bubble3D val="false"/>
          </c:dPt>
          <c:dPt>
            <c:idx val="1"/>
            <c:bubble3D val="false"/>
          </c:dPt>
          <c:dLbls>
            <c:dLbl>
              <c:idx val="0"/>
              <c:layout>
                <c:manualLayout>
                  <c:x val="0.0848707349081365"/>
                  <c:y val="-0.171573344998542"/>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286458880139982"/>
                  <c:y val="0.140147273257509"/>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'[决算公开插图制作示例(1)(1)(2).xlsx]图三'!$A$2:$B$2</c:f>
              <c:strCache>
                <c:ptCount val="2"/>
                <c:pt idx="0">
                  <c:v>基本支出</c:v>
                </c:pt>
                <c:pt idx="1">
                  <c:v>项目支出</c:v>
                </c:pt>
              </c:strCache>
            </c:strRef>
          </c:cat>
          <c:val>
            <c:numRef>
              <c:f>'[决算公开插图制作示例(1)(1)(2).xlsx]图三'!$A$3:$B$3</c:f>
              <c:numCache>
                <c:formatCode>0.0%</c:formatCode>
                <c:ptCount val="2"/>
                <c:pt idx="0">
                  <c:v>0.802</c:v>
                </c:pt>
                <c:pt idx="1">
                  <c:v>0.188</c:v>
                </c:pt>
              </c:numCache>
            </c:numRef>
          </c:val>
        </c:ser>
        <c:dLbls>
          <c:showLegendKey val="false"/>
          <c:showVal val="true"/>
          <c:showCatName val="false"/>
          <c:showSerName val="false"/>
          <c:showPercent val="false"/>
          <c:showBubbleSize val="false"/>
          <c:showLeaderLines val="true"/>
        </c:dLbls>
        <c:firstSliceAng val="15"/>
      </c:pieChart>
      <c:spPr>
        <a:noFill/>
        <a:ln>
          <a:noFill/>
        </a:ln>
        <a:effectLst/>
      </c:spPr>
    </c:plotArea>
    <c:legend>
      <c:legendPos val="r"/>
      <c:layout>
        <c:manualLayout>
          <c:xMode val="edge"/>
          <c:yMode val="edge"/>
          <c:x val="0.777043088363955"/>
          <c:y val="0.434801326917469"/>
          <c:w val="0.186845800524934"/>
          <c:h val="0.1674343832021"/>
        </c:manualLayout>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119668853893263"/>
          <c:y val="0.0514005540974045"/>
          <c:w val="0.587929790026247"/>
          <c:h val="0.824965368912219"/>
        </c:manualLayout>
      </c:layout>
      <c:barChart>
        <c:barDir val="col"/>
        <c:grouping val="clustered"/>
        <c:varyColors val="false"/>
        <c:ser>
          <c:idx val="0"/>
          <c:order val="0"/>
          <c:invertIfNegative val="false"/>
          <c:dPt>
            <c:idx val="1"/>
            <c:invertIfNegative val="false"/>
            <c:bubble3D val="false"/>
            <c:spPr>
              <a:solidFill>
                <a:srgbClr val="C00000"/>
              </a:solidFill>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'[决算公开插图制作示例(1)(1)(2).xlsx]图4 '!$A$1:$B$1</c:f>
              <c:strCache>
                <c:ptCount val="2"/>
                <c:pt idx="0">
                  <c:v>2022年</c:v>
                </c:pt>
                <c:pt idx="1">
                  <c:v>2023年</c:v>
                </c:pt>
              </c:strCache>
            </c:strRef>
          </c:cat>
          <c:val>
            <c:numRef>
              <c:f>'[决算公开插图制作示例(1)(1)(2).xlsx]图4 '!$A$2:$B$2</c:f>
              <c:numCache>
                <c:formatCode>General</c:formatCode>
                <c:ptCount val="2"/>
                <c:pt idx="0">
                  <c:v>2455.86</c:v>
                </c:pt>
                <c:pt idx="1">
                  <c:v>2720.4</c:v>
                </c:pt>
              </c:numCache>
            </c:numRef>
          </c:val>
        </c:ser>
        <c:dLbls>
          <c:showLegendKey val="false"/>
          <c:showVal val="true"/>
          <c:showCatName val="false"/>
          <c:showSerName val="false"/>
          <c:showPercent val="false"/>
          <c:showBubbleSize val="false"/>
        </c:dLbls>
        <c:gapWidth val="150"/>
        <c:axId val="42195584"/>
        <c:axId val="42207488"/>
      </c:barChart>
      <c:catAx>
        <c:axId val="42195584"/>
        <c:scaling>
          <c:orientation val="minMax"/>
        </c:scaling>
        <c:delete val="false"/>
        <c:axPos val="b"/>
        <c:majorTickMark val="out"/>
        <c:minorTickMark val="none"/>
        <c:tickLblPos val="nextTo"/>
        <c:txPr>
          <a:bodyPr rot="-60000000" spcFirstLastPara="0" vertOverflow="ellipsis" vert="horz" wrap="square" anchor="ctr" anchorCtr="true"/>
          <a:lstStyle/>
          <a:p>
            <a:pPr>
              <a:defRPr lang="zh-CN" sz="600" b="0" i="0" u="none" strike="noStrike" kern="1200" baseline="0">
                <a:solidFill>
                  <a:schemeClr val="tx1"/>
                </a:solidFill>
                <a:latin typeface="+mn-lt"/>
                <a:ea typeface="+mn-ea"/>
                <a:cs typeface="+mn-cs"/>
              </a:defRPr>
            </a:pPr>
          </a:p>
        </c:txPr>
        <c:crossAx val="42207488"/>
        <c:crosses val="autoZero"/>
        <c:auto val="true"/>
        <c:lblAlgn val="ctr"/>
        <c:lblOffset val="100"/>
        <c:noMultiLvlLbl val="false"/>
      </c:catAx>
      <c:valAx>
        <c:axId val="42207488"/>
        <c:scaling>
          <c:orientation val="minMax"/>
        </c:scaling>
        <c:delete val="false"/>
        <c:axPos val="l"/>
        <c:majorGridlines/>
        <c:numFmt formatCode="General"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42195584"/>
        <c:crosses val="autoZero"/>
        <c:crossBetween val="between"/>
      </c:valAx>
    </c:plotArea>
    <c:legend>
      <c:legendPos val="r"/>
      <c:layout>
        <c:manualLayout>
          <c:xMode val="edge"/>
          <c:yMode val="edge"/>
          <c:x val="0.763154199475066"/>
          <c:y val="0.360343394575678"/>
          <c:w val="0.220179133858268"/>
          <c:h val="0.279313210848644"/>
        </c:manualLayout>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098571741032371"/>
          <c:y val="0.168676727909011"/>
          <c:w val="0.606249125109361"/>
          <c:h val="0.679911417322835"/>
        </c:manualLayout>
      </c:layout>
      <c:barChart>
        <c:barDir val="col"/>
        <c:grouping val="clustered"/>
        <c:varyColors val="false"/>
        <c:ser>
          <c:idx val="0"/>
          <c:order val="0"/>
          <c:invertIfNegative val="false"/>
          <c:dPt>
            <c:idx val="1"/>
            <c:invertIfNegative val="false"/>
            <c:bubble3D val="false"/>
            <c:spPr>
              <a:solidFill>
                <a:srgbClr val="FF0000"/>
              </a:solidFill>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'[决算公开插图制作示例(1)(1)(2).xlsx]图5'!$A$1:$B$1</c:f>
              <c:strCache>
                <c:ptCount val="2"/>
                <c:pt idx="0">
                  <c:v>2022年</c:v>
                </c:pt>
                <c:pt idx="1">
                  <c:v>2023年</c:v>
                </c:pt>
              </c:strCache>
            </c:strRef>
          </c:cat>
          <c:val>
            <c:numRef>
              <c:f>'[决算公开插图制作示例(1)(1)(2).xlsx]图5'!$A$2:$B$2</c:f>
              <c:numCache>
                <c:formatCode>General</c:formatCode>
                <c:ptCount val="2"/>
                <c:pt idx="0">
                  <c:v>2455.86</c:v>
                </c:pt>
                <c:pt idx="1">
                  <c:v>2720.4</c:v>
                </c:pt>
              </c:numCache>
            </c:numRef>
          </c:val>
        </c:ser>
        <c:dLbls>
          <c:showLegendKey val="false"/>
          <c:showVal val="true"/>
          <c:showCatName val="false"/>
          <c:showSerName val="false"/>
          <c:showPercent val="false"/>
          <c:showBubbleSize val="false"/>
        </c:dLbls>
        <c:gapWidth val="150"/>
        <c:axId val="42232064"/>
        <c:axId val="42235392"/>
      </c:barChart>
      <c:catAx>
        <c:axId val="42232064"/>
        <c:scaling>
          <c:orientation val="minMax"/>
        </c:scaling>
        <c:delete val="false"/>
        <c:axPos val="b"/>
        <c:majorTickMark val="out"/>
        <c:minorTickMark val="none"/>
        <c:tickLblPos val="nextTo"/>
        <c:txPr>
          <a:bodyPr rot="-60000000" spcFirstLastPara="0" vertOverflow="ellipsis" vert="horz" wrap="square" anchor="ctr" anchorCtr="true"/>
          <a:lstStyle/>
          <a:p>
            <a:pPr>
              <a:defRPr lang="zh-CN" sz="600" b="0" i="0" u="none" strike="noStrike" kern="1200" baseline="0">
                <a:solidFill>
                  <a:schemeClr val="tx1"/>
                </a:solidFill>
                <a:latin typeface="+mn-lt"/>
                <a:ea typeface="+mn-ea"/>
                <a:cs typeface="+mn-cs"/>
              </a:defRPr>
            </a:pPr>
          </a:p>
        </c:txPr>
        <c:crossAx val="42235392"/>
        <c:crosses val="autoZero"/>
        <c:auto val="true"/>
        <c:lblAlgn val="ctr"/>
        <c:lblOffset val="100"/>
        <c:noMultiLvlLbl val="false"/>
      </c:catAx>
      <c:valAx>
        <c:axId val="42235392"/>
        <c:scaling>
          <c:orientation val="minMax"/>
        </c:scaling>
        <c:delete val="false"/>
        <c:axPos val="l"/>
        <c:majorGridlines/>
        <c:numFmt formatCode="General"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42232064"/>
        <c:crosses val="autoZero"/>
        <c:crossBetween val="between"/>
      </c:valAx>
    </c:plotArea>
    <c:legend>
      <c:legendPos val="tr"/>
      <c:layout>
        <c:manualLayout>
          <c:xMode val="edge"/>
          <c:yMode val="edge"/>
          <c:x val="0.765931977252843"/>
          <c:y val="0.236111111111111"/>
          <c:w val="0.211845800524934"/>
          <c:h val="0.45523913677457"/>
        </c:manualLayout>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explosion val="0"/>
          <c:dPt>
            <c:idx val="0"/>
            <c:bubble3D val="false"/>
            <c:spPr>
              <a:solidFill>
                <a:schemeClr val="tx2">
                  <a:lumMod val="40000"/>
                  <a:lumOff val="60000"/>
                </a:schemeClr>
              </a:solidFill>
            </c:spPr>
          </c:dPt>
          <c:dPt>
            <c:idx val="1"/>
            <c:bubble3D val="false"/>
          </c:dPt>
          <c:dPt>
            <c:idx val="2"/>
            <c:bubble3D val="false"/>
          </c:dPt>
          <c:dPt>
            <c:idx val="3"/>
            <c:bubble3D val="false"/>
          </c:dPt>
          <c:dLbls>
            <c:dLbl>
              <c:idx val="0"/>
              <c:layout>
                <c:manualLayout>
                  <c:x val="0.0483216316710411"/>
                  <c:y val="0.0977380431612716"/>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546208442694663"/>
                  <c:y val="-0.0359631087780694"/>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0100951443569554"/>
                  <c:y val="-0.132278361038204"/>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3"/>
              <c:layout>
                <c:manualLayout>
                  <c:x val="0.166543197725284"/>
                  <c:y val="-0.108673447069116"/>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'[决算公开插图制作示例(1)(1)(2).xlsx]图6'!$A$2:$A$5</c:f>
              <c:strCache>
                <c:ptCount val="4"/>
                <c:pt idx="0">
                  <c:v>公共安全支出（类）支出</c:v>
                </c:pt>
                <c:pt idx="1">
                  <c:v>社会保障和就业（类）支出</c:v>
                </c:pt>
                <c:pt idx="2">
                  <c:v>卫生健康(类)支出</c:v>
                </c:pt>
                <c:pt idx="3">
                  <c:v>住房保障（类）支出</c:v>
                </c:pt>
              </c:strCache>
            </c:strRef>
          </c:cat>
          <c:val>
            <c:numRef>
              <c:f>'[决算公开插图制作示例(1)(1)(2).xlsx]图6'!$B$2:$B$5</c:f>
              <c:numCache>
                <c:formatCode>0.0%</c:formatCode>
                <c:ptCount val="4"/>
                <c:pt idx="0">
                  <c:v>0.886</c:v>
                </c:pt>
                <c:pt idx="1">
                  <c:v>0.044</c:v>
                </c:pt>
                <c:pt idx="2">
                  <c:v>0.022</c:v>
                </c:pt>
                <c:pt idx="3">
                  <c:v>0.048</c:v>
                </c:pt>
              </c:numCache>
            </c:numRef>
          </c:val>
        </c:ser>
        <c:dLbls>
          <c:showLegendKey val="false"/>
          <c:showVal val="true"/>
          <c:showCatName val="false"/>
          <c:showSerName val="false"/>
          <c:showPercent val="false"/>
          <c:showBubbleSize val="false"/>
          <c:showLeaderLines val="true"/>
        </c:dLbls>
        <c:firstSliceAng val="15"/>
      </c:pieChart>
      <c:spPr>
        <a:noFill/>
        <a:ln>
          <a:noFill/>
        </a:ln>
        <a:effectLst/>
      </c:spPr>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manualLayout>
          <c:layoutTarget val="inner"/>
          <c:xMode val="edge"/>
          <c:yMode val="edge"/>
          <c:x val="0.185422222222222"/>
          <c:y val="0.227347222222222"/>
          <c:w val="0.326211111111111"/>
          <c:h val="0.543685185185185"/>
        </c:manualLayout>
      </c:layout>
      <c:pieChart>
        <c:varyColors val="true"/>
        <c:ser>
          <c:idx val="0"/>
          <c:order val="0"/>
          <c:tx>
            <c:strRef>
              <c:f>'[决算公开插图制作示例(1)(1)(2).xlsx]图7'!$B$1</c:f>
              <c:strCache>
                <c:ptCount val="1"/>
                <c:pt idx="0">
                  <c:v/>
                </c:pt>
              </c:strCache>
            </c:strRef>
          </c:tx>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Lbls>
            <c:dLbl>
              <c:idx val="0"/>
              <c:layout>
                <c:manualLayout>
                  <c:x val="0.08125"/>
                  <c:y val="0"/>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1"/>
              <c:layout>
                <c:manualLayout>
                  <c:x val="-0.0104166666666667"/>
                  <c:y val="-0.0833333333333333"/>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2"/>
              <c:layout>
                <c:manualLayout>
                  <c:x val="0.181249268771793"/>
                  <c:y val="-0.0364398905655165"/>
                </c:manualLayout>
              </c:layout>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numFmt formatCode="0.0%" sourceLinked="false"/>
            <c:spPr>
              <a:noFill/>
              <a:ln w="28575" cmpd="sng">
                <a:noFill/>
                <a:prstDash val="solid"/>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'[决算公开插图制作示例(1)(1)(2).xlsx]图7'!$A$2:$A$4</c:f>
              <c:strCache>
                <c:ptCount val="3"/>
                <c:pt idx="0">
                  <c:v>因公出国（境）费支出</c:v>
                </c:pt>
                <c:pt idx="1">
                  <c:v>公务用车购置及运行维护费支出</c:v>
                </c:pt>
                <c:pt idx="2">
                  <c:v>公务接待费支出</c:v>
                </c:pt>
              </c:strCache>
            </c:strRef>
          </c:cat>
          <c:val>
            <c:numRef>
              <c:f>'[决算公开插图制作示例(1)(1)(2).xlsx]图7'!$B$2:$B$4</c:f>
              <c:numCache>
                <c:formatCode>General</c:formatCode>
                <c:ptCount val="3"/>
                <c:pt idx="0">
                  <c:v>0</c:v>
                </c:pt>
                <c:pt idx="1">
                  <c:v>94.7</c:v>
                </c:pt>
                <c:pt idx="2">
                  <c:v>5.3</c:v>
                </c:pt>
              </c:numCache>
            </c:numRef>
          </c:val>
        </c:ser>
        <c:ser>
          <c:idx val="1"/>
          <c:order val="1"/>
          <c:tx>
            <c:strRef>
              <c:f>'[决算公开插图制作示例(1)(1)(2).xlsx]图7'!$C$1</c:f>
              <c:strCache>
                <c:ptCount val="1"/>
                <c:pt idx="0">
                  <c:v/>
                </c:pt>
              </c:strCache>
            </c:strRef>
          </c:tx>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'[决算公开插图制作示例(1)(1)(2).xlsx]图7'!$A$2:$A$4</c:f>
              <c:strCache>
                <c:ptCount val="3"/>
                <c:pt idx="0">
                  <c:v>因公出国（境）费支出</c:v>
                </c:pt>
                <c:pt idx="1">
                  <c:v>公务用车购置及运行维护费支出</c:v>
                </c:pt>
                <c:pt idx="2">
                  <c:v>公务接待费支出</c:v>
                </c:pt>
              </c:strCache>
            </c:strRef>
          </c:cat>
          <c:val>
            <c:numRef>
              <c:f>'[决算公开插图制作示例(1)(1)(2).xlsx]图7'!$C$2:$C$4</c:f>
              <c:numCache>
                <c:formatCode>0.0%</c:formatCode>
                <c:ptCount val="3"/>
                <c:pt idx="0">
                  <c:v>0</c:v>
                </c:pt>
                <c:pt idx="1">
                  <c:v>0.947</c:v>
                </c:pt>
                <c:pt idx="2">
                  <c:v>0.053</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egendEntry>
        <c:idx val="0"/>
        <c:txPr>
          <a:bodyPr rot="0" spcFirstLastPara="0" vertOverflow="ellipsis" vert="horz" wrap="square" anchor="ctr" anchorCtr="true"/>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1"/>
        <c:txPr>
          <a:bodyPr rot="0" spcFirstLastPara="0" vertOverflow="ellipsis" vert="horz" wrap="square" anchor="ctr" anchorCtr="true"/>
          <a:lstStyle/>
          <a:p>
            <a:pPr>
              <a:defRPr lang="zh-CN" sz="1000" b="0" i="0" u="none" strike="noStrike" kern="1200" baseline="0">
                <a:solidFill>
                  <a:schemeClr val="tx1">
                    <a:lumMod val="65000"/>
                    <a:lumOff val="35000"/>
                  </a:schemeClr>
                </a:solidFill>
                <a:latin typeface="+mn-lt"/>
                <a:ea typeface="+mn-ea"/>
                <a:cs typeface="+mn-cs"/>
              </a:defRPr>
            </a:pPr>
          </a:p>
        </c:txPr>
      </c:legendEntry>
      <c:legendEntry>
        <c:idx val="2"/>
        <c:txPr>
          <a:bodyPr rot="0" spcFirstLastPara="0" vertOverflow="ellipsis" vert="horz" wrap="square" anchor="ctr" anchorCtr="true"/>
          <a:lstStyle/>
          <a:p>
            <a:pPr>
              <a:defRPr lang="zh-CN" sz="1000" b="0" i="0" u="none" strike="noStrike" kern="1200" baseline="0">
                <a:solidFill>
                  <a:schemeClr val="tx1">
                    <a:lumMod val="65000"/>
                    <a:lumOff val="35000"/>
                  </a:schemeClr>
                </a:solidFill>
                <a:latin typeface="+mn-lt"/>
                <a:ea typeface="+mn-ea"/>
                <a:cs typeface="+mn-cs"/>
              </a:defRPr>
            </a:pPr>
          </a:p>
        </c:txPr>
      </c:legendEntry>
      <c:layout>
        <c:manualLayout>
          <c:xMode val="edge"/>
          <c:yMode val="edge"/>
          <c:x val="0.665307402760351"/>
          <c:y val="0.292121212121212"/>
          <c:w val="0.29297365119197"/>
          <c:h val="0.475151515151515"/>
        </c:manualLayout>
      </c:layout>
      <c:overlay val="false"/>
      <c:spPr>
        <a:noFill/>
        <a:ln>
          <a:noFill/>
        </a:ln>
        <a:effectLst/>
      </c:spPr>
      <c:txPr>
        <a:bodyPr rot="0" spcFirstLastPara="0" vertOverflow="ellipsis" vert="horz" wrap="square" anchor="ctr" anchorCtr="true"/>
        <a:lstStyle/>
        <a:p>
          <a:pPr>
            <a:defRPr lang="zh-CN" sz="10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0"/>
    <customShpInfo spid="_x0000_s2049"/>
    <customShpInfo spid="_x0000_s2052"/>
    <customShpInfo spid="_x0000_s2051"/>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24</Pages>
  <Words>8789</Words>
  <Characters>11226</Characters>
  <Lines>229</Lines>
  <Paragraphs>64</Paragraphs>
  <TotalTime>11</TotalTime>
  <ScaleCrop>false</ScaleCrop>
  <LinksUpToDate>false</LinksUpToDate>
  <CharactersWithSpaces>11261</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2024-09-04T11:42:00Z</dcterms:created>
  <dc:creator>曹颖</dc:creator>
  <cp:lastModifiedBy> </cp:lastModifiedBy>
  <cp:lastPrinted>2024-09-04T16:06:00Z</cp:lastPrinted>
  <dcterms:modified xsi:type="dcterms:W3CDTF">2024-10-17T08:52:49Z</dcterms:modified>
  <dc:title>四川省***</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946F9FE633274F09BE57FD74792CE809_13</vt:lpwstr>
  </property>
</Properties>
</file>